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9A3" w:rsidRPr="003C0E72" w:rsidRDefault="00D229A3" w:rsidP="00D229A3">
      <w:pPr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3C0E72">
        <w:rPr>
          <w:rFonts w:ascii="Times New Roman" w:hAnsi="Times New Roman" w:cs="Times New Roman"/>
          <w:b/>
          <w:sz w:val="22"/>
          <w:szCs w:val="22"/>
        </w:rPr>
        <w:t>Amiodarone</w:t>
      </w:r>
      <w:proofErr w:type="spellEnd"/>
    </w:p>
    <w:p w:rsidR="00D229A3" w:rsidRPr="003C0E72" w:rsidRDefault="00D229A3" w:rsidP="00D229A3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Addition to the list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b/>
          <w:sz w:val="22"/>
          <w:szCs w:val="22"/>
        </w:rPr>
        <w:t>Explanation for the addition: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According to IMS Brogan,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is the 200</w:t>
      </w:r>
      <w:r w:rsidRPr="003C0E72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Pr="003C0E72">
        <w:rPr>
          <w:rFonts w:ascii="Times New Roman" w:hAnsi="Times New Roman" w:cs="Times New Roman"/>
          <w:sz w:val="22"/>
          <w:szCs w:val="22"/>
        </w:rPr>
        <w:t xml:space="preserve"> most prescribed medication.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b/>
          <w:sz w:val="22"/>
          <w:szCs w:val="22"/>
        </w:rPr>
        <w:t>CLEAN Meds agent used to treat atrial fibrillation:</w:t>
      </w:r>
    </w:p>
    <w:p w:rsidR="00D229A3" w:rsidRPr="003C0E72" w:rsidRDefault="00D229A3" w:rsidP="00D229A3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Pr="003C0E72">
        <w:rPr>
          <w:rFonts w:ascii="Times New Roman" w:hAnsi="Times New Roman" w:cs="Times New Roman"/>
          <w:sz w:val="22"/>
          <w:szCs w:val="22"/>
        </w:rPr>
        <w:t>igoxin</w:t>
      </w:r>
    </w:p>
    <w:p w:rsidR="00D229A3" w:rsidRPr="003C0E72" w:rsidRDefault="00D229A3" w:rsidP="00D229A3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d</w:t>
      </w:r>
      <w:r w:rsidRPr="003C0E72">
        <w:rPr>
          <w:rFonts w:ascii="Times New Roman" w:hAnsi="Times New Roman" w:cs="Times New Roman"/>
          <w:sz w:val="22"/>
          <w:szCs w:val="22"/>
        </w:rPr>
        <w:t>iltiazem</w:t>
      </w:r>
      <w:proofErr w:type="spellEnd"/>
    </w:p>
    <w:p w:rsidR="00D229A3" w:rsidRPr="003C0E72" w:rsidRDefault="00D229A3" w:rsidP="00D229A3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</w:t>
      </w:r>
      <w:r w:rsidRPr="003C0E72">
        <w:rPr>
          <w:rFonts w:ascii="Times New Roman" w:hAnsi="Times New Roman" w:cs="Times New Roman"/>
          <w:sz w:val="22"/>
          <w:szCs w:val="22"/>
        </w:rPr>
        <w:t>abetalol</w:t>
      </w:r>
    </w:p>
    <w:p w:rsidR="00D229A3" w:rsidRPr="003C0E72" w:rsidRDefault="00D229A3" w:rsidP="00D229A3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b</w:t>
      </w:r>
      <w:r w:rsidRPr="003C0E72"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3C0E72">
        <w:rPr>
          <w:rFonts w:ascii="Times New Roman" w:hAnsi="Times New Roman" w:cs="Times New Roman"/>
          <w:sz w:val="22"/>
          <w:szCs w:val="22"/>
        </w:rPr>
        <w:t>prolol</w:t>
      </w:r>
      <w:proofErr w:type="spellEnd"/>
    </w:p>
    <w:p w:rsidR="00D229A3" w:rsidRPr="003C0E72" w:rsidRDefault="00D229A3" w:rsidP="00D229A3">
      <w:pPr>
        <w:pStyle w:val="ListParagraph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b/>
          <w:sz w:val="22"/>
          <w:szCs w:val="22"/>
        </w:rPr>
        <w:t>Literature Review Question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Is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effective and safe when used for atrial fibrillation?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b/>
          <w:sz w:val="22"/>
          <w:szCs w:val="22"/>
        </w:rPr>
        <w:t>Literature search: PubMed, Cochrane</w:t>
      </w:r>
    </w:p>
    <w:p w:rsidR="00D229A3" w:rsidRPr="003C0E72" w:rsidRDefault="00D229A3" w:rsidP="00D229A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Brief search strategies: (systematic review filter) AND (atrial fibrillation) AND (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)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pStyle w:val="EndNoteBibliography"/>
        <w:spacing w:line="276" w:lineRule="auto"/>
        <w:rPr>
          <w:rFonts w:ascii="Times New Roman" w:hAnsi="Times New Roman" w:cs="Times New Roman"/>
          <w:b/>
          <w:noProof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fldChar w:fldCharType="begin"/>
      </w:r>
      <w:r w:rsidRPr="003C0E72">
        <w:rPr>
          <w:rFonts w:ascii="Times New Roman" w:hAnsi="Times New Roman" w:cs="Times New Roman"/>
          <w:sz w:val="22"/>
          <w:szCs w:val="22"/>
        </w:rPr>
        <w:instrText xml:space="preserve"> ADDIN EN.REFLIST </w:instrText>
      </w:r>
      <w:r w:rsidRPr="003C0E72">
        <w:rPr>
          <w:rFonts w:ascii="Times New Roman" w:hAnsi="Times New Roman" w:cs="Times New Roman"/>
          <w:sz w:val="22"/>
          <w:szCs w:val="22"/>
        </w:rPr>
        <w:fldChar w:fldCharType="separate"/>
      </w:r>
      <w:r w:rsidRPr="003C0E72">
        <w:rPr>
          <w:rFonts w:ascii="Times New Roman" w:hAnsi="Times New Roman" w:cs="Times New Roman"/>
          <w:b/>
          <w:noProof/>
          <w:sz w:val="22"/>
          <w:szCs w:val="22"/>
        </w:rPr>
        <w:t xml:space="preserve">Lafuente-Lafuente, C., et al. </w:t>
      </w:r>
      <w:r w:rsidRPr="003C0E72">
        <w:rPr>
          <w:rFonts w:ascii="Times New Roman" w:hAnsi="Times New Roman" w:cs="Times New Roman"/>
          <w:b/>
          <w:i/>
          <w:noProof/>
          <w:sz w:val="22"/>
          <w:szCs w:val="22"/>
        </w:rPr>
        <w:t>Antiarrhythmics for maintaining sinus rhythm after cardioversion of atrial fibrillation</w:t>
      </w:r>
      <w:r w:rsidRPr="003C0E72">
        <w:rPr>
          <w:rFonts w:ascii="Times New Roman" w:hAnsi="Times New Roman" w:cs="Times New Roman"/>
          <w:b/>
          <w:noProof/>
          <w:sz w:val="22"/>
          <w:szCs w:val="22"/>
        </w:rPr>
        <w:t>. Cochrane Database of Systematic Reviews, 2015.  DOI: 10.1002/14651858.CD005049.pub4.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fldChar w:fldCharType="end"/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t>Aim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This systematic review looked at the effectiveness and safety of antiarrhythmic drugs used to prevent recurrences of atrial fibrillation.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t>Studies included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This review included 59 RCTs with concealed allocation testing various antiarrhythmic drugs and involving 21,305 patients. 30 studies compared an antiarrhythmic vs. placebo; 17 compared two or more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antiarrthymics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; 12 studies comparing two or more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antiarrthymics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and control. 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t>Medications included in the review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Drugs included in this review, for which at least one well designed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randomised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controlled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trialwas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found,were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(a) class IA: quinidine,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disopyramide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; (b) class IB: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aprindine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bidisomide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; (c) class IC: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flecainide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propafenone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; (d) class II (beta-blockers):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metoprolol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; (e) class III: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azimilide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dofetilide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dronedarone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sotalol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b/>
          <w:sz w:val="22"/>
          <w:szCs w:val="22"/>
          <w:u w:val="single"/>
        </w:rPr>
        <w:br w:type="page"/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lastRenderedPageBreak/>
        <w:t>Results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t>Atrial fibrillation recurrence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“In this review, all class IA, class IC and class III drugs included in this review significantly reduced the recurrence of atrial fibrillation.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In direct comparisons between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antiarrhythmics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(Analysis 5.5),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reduced the recurrence of atrial fibrillation significantly more than the combined class I drugs (OR 0.36, 95% CI 0.26 to 0.50, P &lt; 0.00001) and class III drugs including,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dronedarone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(OR 0.45, 95% CI 0.31 to 0.63, P &lt; 0.00001, 1 trial, 504 patients), and more than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sotalol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(OR 0.43, 95% CI 0.33 to 0.56, P &lt; 0.00001). No other significant differences were apparent in comparisons between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antiarrhythmics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.”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noProof/>
          <w:sz w:val="22"/>
          <w:szCs w:val="22"/>
          <w:lang w:eastAsia="ko-KR"/>
        </w:rPr>
        <w:drawing>
          <wp:inline distT="0" distB="0" distL="0" distR="0" wp14:anchorId="54A34D4D" wp14:editId="17D97012">
            <wp:extent cx="5880295" cy="5308600"/>
            <wp:effectExtent l="0" t="0" r="12700" b="0"/>
            <wp:docPr id="5" name="Picture 5" descr="Macintosh HD:Users:winnyli:Desktop:Screen Shot 2016-08-09 at 2.1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innyli:Desktop:Screen Shot 2016-08-09 at 2.11.5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lastRenderedPageBreak/>
        <w:t>Adverse Effects (withdrawals and pro-arrhythmia)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“All studied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antiarrhythmics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showed increased pro-arrhythmic effects (counting both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bradyarrhythmias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tachyarrhythmias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attributable to treatment) with the exceptions of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dronedarone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propafenone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(Analysis 3.1). 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produced significantly fewer withdrawals (OR 0.55, 95% CI 0.36 to 0.84, P = 0.006) and fewer pro-arrhythmic events (OR 0.28, 95% CI 0.13 to 0.59, P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 xml:space="preserve">= 0.0007) than class I drugs combined. However, compared to placebo,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had a high OR for increasing withdrawals (OR 5.55, 95% CI 2.24 to 13.7).”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noProof/>
          <w:sz w:val="22"/>
          <w:szCs w:val="22"/>
          <w:lang w:eastAsia="ko-KR"/>
        </w:rPr>
        <w:drawing>
          <wp:inline distT="0" distB="0" distL="0" distR="0" wp14:anchorId="0EBAC1E5" wp14:editId="2DAD239E">
            <wp:extent cx="5829300" cy="5923756"/>
            <wp:effectExtent l="0" t="0" r="0" b="0"/>
            <wp:docPr id="4" name="Picture 4" descr="Macintosh HD:Users:winnyli:Desktop:Screen Shot 2016-08-09 at 2.09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innyli:Desktop:Screen Shot 2016-08-09 at 2.09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2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A3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lastRenderedPageBreak/>
        <w:t>Mortality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FF"/>
          <w:sz w:val="22"/>
          <w:szCs w:val="22"/>
        </w:rPr>
      </w:pPr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“Results for mortality are </w:t>
      </w:r>
      <w:proofErr w:type="spellStart"/>
      <w:r w:rsidRPr="003C0E72">
        <w:rPr>
          <w:rFonts w:ascii="Times New Roman" w:hAnsi="Times New Roman" w:cs="Times New Roman"/>
          <w:color w:val="000000"/>
          <w:sz w:val="22"/>
          <w:szCs w:val="22"/>
        </w:rPr>
        <w:t>summarised</w:t>
      </w:r>
      <w:proofErr w:type="spellEnd"/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 in </w:t>
      </w:r>
      <w:r w:rsidRPr="003C0E72">
        <w:rPr>
          <w:rFonts w:ascii="Times New Roman" w:hAnsi="Times New Roman" w:cs="Times New Roman"/>
          <w:sz w:val="22"/>
          <w:szCs w:val="22"/>
        </w:rPr>
        <w:t xml:space="preserve">Figure 6. The all-cause mortality rate was low (0% to 5.1% at 1 year). </w:t>
      </w:r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No other significant difference in mortality was apparent with respect to the remaining drugs </w:t>
      </w:r>
      <w:proofErr w:type="spellStart"/>
      <w:r w:rsidRPr="003C0E72">
        <w:rPr>
          <w:rFonts w:ascii="Times New Roman" w:hAnsi="Times New Roman" w:cs="Times New Roman"/>
          <w:color w:val="000000"/>
          <w:sz w:val="22"/>
          <w:szCs w:val="22"/>
        </w:rPr>
        <w:t>analysed</w:t>
      </w:r>
      <w:proofErr w:type="spellEnd"/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, beta-blockers, </w:t>
      </w:r>
      <w:proofErr w:type="spellStart"/>
      <w:r w:rsidRPr="003C0E72">
        <w:rPr>
          <w:rFonts w:ascii="Times New Roman" w:hAnsi="Times New Roman" w:cs="Times New Roman"/>
          <w:color w:val="000000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Pr="003C0E72">
        <w:rPr>
          <w:rFonts w:ascii="Times New Roman" w:hAnsi="Times New Roman" w:cs="Times New Roman"/>
          <w:color w:val="000000"/>
          <w:sz w:val="22"/>
          <w:szCs w:val="22"/>
        </w:rPr>
        <w:t>dofetilide</w:t>
      </w:r>
      <w:proofErr w:type="spellEnd"/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 and </w:t>
      </w:r>
      <w:proofErr w:type="spellStart"/>
      <w:r w:rsidRPr="003C0E72">
        <w:rPr>
          <w:rFonts w:ascii="Times New Roman" w:hAnsi="Times New Roman" w:cs="Times New Roman"/>
          <w:color w:val="000000"/>
          <w:sz w:val="22"/>
          <w:szCs w:val="22"/>
        </w:rPr>
        <w:t>dronedarone</w:t>
      </w:r>
      <w:proofErr w:type="spellEnd"/>
      <w:r w:rsidRPr="003C0E72">
        <w:rPr>
          <w:rFonts w:ascii="Times New Roman" w:hAnsi="Times New Roman" w:cs="Times New Roman"/>
          <w:color w:val="000000"/>
          <w:sz w:val="22"/>
          <w:szCs w:val="22"/>
        </w:rPr>
        <w:t xml:space="preserve">. In direct comparisons between </w:t>
      </w:r>
      <w:proofErr w:type="spellStart"/>
      <w:r w:rsidRPr="003C0E72">
        <w:rPr>
          <w:rFonts w:ascii="Times New Roman" w:hAnsi="Times New Roman" w:cs="Times New Roman"/>
          <w:color w:val="000000"/>
          <w:sz w:val="22"/>
          <w:szCs w:val="22"/>
        </w:rPr>
        <w:t>antiarrhythmics</w:t>
      </w:r>
      <w:proofErr w:type="spellEnd"/>
      <w:r w:rsidRPr="003C0E72">
        <w:rPr>
          <w:rFonts w:ascii="Times New Roman" w:hAnsi="Times New Roman" w:cs="Times New Roman"/>
          <w:color w:val="000000"/>
          <w:sz w:val="22"/>
          <w:szCs w:val="22"/>
        </w:rPr>
        <w:t>, no significant differences were found.”</w:t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b/>
          <w:noProof/>
          <w:sz w:val="22"/>
          <w:szCs w:val="22"/>
          <w:lang w:eastAsia="ko-KR"/>
        </w:rPr>
        <w:drawing>
          <wp:inline distT="0" distB="0" distL="0" distR="0" wp14:anchorId="0F08C5F7" wp14:editId="5E9F4582">
            <wp:extent cx="6178093" cy="4991100"/>
            <wp:effectExtent l="0" t="0" r="0" b="0"/>
            <wp:docPr id="3" name="Picture 3" descr="Macintosh HD:Users:winnyli:Desktop:Screen Shot 2016-08-09 at 2.06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innyli:Desktop:Screen Shot 2016-08-09 at 2.06.29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52" cy="49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D229A3" w:rsidRPr="003C0E72" w:rsidRDefault="00D229A3" w:rsidP="00D229A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3C0E72">
        <w:rPr>
          <w:rFonts w:ascii="Times New Roman" w:hAnsi="Times New Roman" w:cs="Times New Roman"/>
          <w:b/>
          <w:sz w:val="22"/>
          <w:szCs w:val="22"/>
        </w:rPr>
        <w:lastRenderedPageBreak/>
        <w:t>2014 AHA/ACC/HRS Guideline for the Management of Patients with Atrial Fibrillation: Executive Summary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noProof/>
          <w:sz w:val="22"/>
          <w:szCs w:val="22"/>
          <w:u w:val="single"/>
          <w:lang w:eastAsia="ko-KR"/>
        </w:rPr>
        <w:drawing>
          <wp:inline distT="0" distB="0" distL="0" distR="0" wp14:anchorId="1D3A1F9C" wp14:editId="59DB54C0">
            <wp:extent cx="6019800" cy="3762375"/>
            <wp:effectExtent l="0" t="0" r="0" b="9525"/>
            <wp:docPr id="2" name="Picture 2" descr="Macintosh HD:Users:winnyli:Desktop:Screen Shot 2016-08-09 at 1.2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innyli:Desktop:Screen Shot 2016-08-09 at 1.26.13 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E72">
        <w:rPr>
          <w:rFonts w:ascii="Times New Roman" w:hAnsi="Times New Roman" w:cs="Times New Roman"/>
          <w:noProof/>
          <w:sz w:val="22"/>
          <w:szCs w:val="22"/>
          <w:lang w:eastAsia="ko-KR"/>
        </w:rPr>
        <w:drawing>
          <wp:inline distT="0" distB="0" distL="0" distR="0" wp14:anchorId="4E4F229D" wp14:editId="4CEFCB35">
            <wp:extent cx="6210300" cy="3667125"/>
            <wp:effectExtent l="0" t="0" r="0" b="9525"/>
            <wp:docPr id="1" name="Picture 1" descr="Macintosh HD:Users:winnyli:Desktop:Screen Shot 2016-08-09 at 1.24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nnyli:Desktop:Screen Shot 2016-08-09 at 1.24.39 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b/>
          <w:sz w:val="22"/>
          <w:szCs w:val="22"/>
        </w:rPr>
        <w:lastRenderedPageBreak/>
        <w:t>Complete search strategies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proofErr w:type="spellStart"/>
      <w:r w:rsidRPr="003C0E72">
        <w:rPr>
          <w:rFonts w:ascii="Times New Roman" w:hAnsi="Times New Roman" w:cs="Times New Roman"/>
          <w:sz w:val="22"/>
          <w:szCs w:val="22"/>
          <w:u w:val="single"/>
        </w:rPr>
        <w:t>Pubmed</w:t>
      </w:r>
      <w:proofErr w:type="spellEnd"/>
      <w:r w:rsidRPr="003C0E72">
        <w:rPr>
          <w:rFonts w:ascii="Times New Roman" w:hAnsi="Times New Roman" w:cs="Times New Roman"/>
          <w:sz w:val="22"/>
          <w:szCs w:val="22"/>
          <w:u w:val="single"/>
        </w:rPr>
        <w:t xml:space="preserve"> (n=108)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(((((((systematic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meta-analysis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meta-analysis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systematic literature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this systematic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pooling project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(systematic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AND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OR meta synthesis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meta synthesis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integrative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integrative research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rapid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consensus development conference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practice guideline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drug class reviews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cochrane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database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syst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rev [ta]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acp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journal club [ta] OR health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technol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assess [ta]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evid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rep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technol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assess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summ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[ta]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jbi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database system rev implement rep [ta]) OR (clinical guideline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AND management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OR ((evidence based[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evidence-based medicine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best practice*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evidence synthesis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AND (review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diseases category[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behavior and behavior mechanisms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therapeutics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evaluation studies[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validation studies[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guideline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pmcbook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)) OR ((systematic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systematically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critical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(study selection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OR (predetermined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inclusion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 AND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criteri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*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]) OR exclusion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criteri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*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main outcome measures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standard of care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standards of care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AND (survey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surveys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overview*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review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reviews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search*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handsearch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analysis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critique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appraisal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(reduction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]AND (risk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risk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AND (death OR recurrence))) AND (literature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articles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publications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publication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bibliography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bibliographies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published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pooled data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unpublished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citation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citations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database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internet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textbooks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references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scales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papers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datasets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trials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meta-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analy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*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(clinical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AND studies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tiab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]) OR treatment outcome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mh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treatment outcome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tw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 OR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pmcbook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)) NOT (letter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OR newspaper article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pt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 xml:space="preserve">]))))) AND 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) AND atrial fibrillation[MeSH Terms]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3C0E72">
        <w:rPr>
          <w:rFonts w:ascii="Times New Roman" w:hAnsi="Times New Roman" w:cs="Times New Roman"/>
          <w:sz w:val="22"/>
          <w:szCs w:val="22"/>
          <w:u w:val="single"/>
        </w:rPr>
        <w:t>Cochrane (n=58)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#1</w:t>
      </w:r>
      <w:r w:rsidRPr="003C0E72">
        <w:rPr>
          <w:rFonts w:ascii="Times New Roman" w:hAnsi="Times New Roman" w:cs="Times New Roman"/>
          <w:sz w:val="22"/>
          <w:szCs w:val="22"/>
        </w:rPr>
        <w:tab/>
        <w:t>MeSH descriptor: [atrial fibrillation] explode all trees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proofErr w:type="gramStart"/>
      <w:r w:rsidRPr="003C0E72">
        <w:rPr>
          <w:rFonts w:ascii="Times New Roman" w:hAnsi="Times New Roman" w:cs="Times New Roman"/>
          <w:sz w:val="22"/>
          <w:szCs w:val="22"/>
        </w:rPr>
        <w:t>#2</w:t>
      </w:r>
      <w:r w:rsidRPr="003C0E72">
        <w:rPr>
          <w:rFonts w:ascii="Times New Roman" w:hAnsi="Times New Roman" w:cs="Times New Roman"/>
          <w:sz w:val="22"/>
          <w:szCs w:val="22"/>
        </w:rPr>
        <w:tab/>
        <w:t>MeSH descriptor: [</w:t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  <w:r w:rsidRPr="003C0E72">
        <w:rPr>
          <w:rFonts w:ascii="Times New Roman" w:hAnsi="Times New Roman" w:cs="Times New Roman"/>
          <w:sz w:val="22"/>
          <w:szCs w:val="22"/>
        </w:rPr>
        <w:t>] explode all trees</w:t>
      </w:r>
      <w:proofErr w:type="gramEnd"/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#3</w:t>
      </w:r>
      <w:r w:rsidRPr="003C0E72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3C0E72">
        <w:rPr>
          <w:rFonts w:ascii="Times New Roman" w:hAnsi="Times New Roman" w:cs="Times New Roman"/>
          <w:sz w:val="22"/>
          <w:szCs w:val="22"/>
        </w:rPr>
        <w:t>amiodarone</w:t>
      </w:r>
      <w:proofErr w:type="spellEnd"/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#4</w:t>
      </w:r>
      <w:r w:rsidRPr="003C0E72">
        <w:rPr>
          <w:rFonts w:ascii="Times New Roman" w:hAnsi="Times New Roman" w:cs="Times New Roman"/>
          <w:sz w:val="22"/>
          <w:szCs w:val="22"/>
        </w:rPr>
        <w:tab/>
        <w:t>(#1) and (#2 or #3)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C0E72">
        <w:rPr>
          <w:rFonts w:ascii="Times New Roman" w:hAnsi="Times New Roman" w:cs="Times New Roman"/>
          <w:sz w:val="22"/>
          <w:szCs w:val="22"/>
        </w:rPr>
        <w:t>Limited to reviews and Cochrane reviews</w:t>
      </w: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D229A3" w:rsidRPr="003C0E72" w:rsidRDefault="00D229A3" w:rsidP="00D229A3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3D511F" w:rsidRDefault="00D229A3">
      <w:bookmarkStart w:id="0" w:name="_GoBack"/>
      <w:bookmarkEnd w:id="0"/>
    </w:p>
    <w:sectPr w:rsidR="003D5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24088"/>
    <w:multiLevelType w:val="hybridMultilevel"/>
    <w:tmpl w:val="B802C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A3"/>
    <w:rsid w:val="006C5E0A"/>
    <w:rsid w:val="00D229A3"/>
    <w:rsid w:val="00DD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9A3"/>
    <w:pPr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9A3"/>
    <w:pPr>
      <w:ind w:left="720"/>
      <w:contextualSpacing/>
    </w:pPr>
  </w:style>
  <w:style w:type="paragraph" w:customStyle="1" w:styleId="EndNoteBibliography">
    <w:name w:val="EndNote Bibliography"/>
    <w:basedOn w:val="Normal"/>
    <w:rsid w:val="00D229A3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A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9A3"/>
    <w:pPr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9A3"/>
    <w:pPr>
      <w:ind w:left="720"/>
      <w:contextualSpacing/>
    </w:pPr>
  </w:style>
  <w:style w:type="paragraph" w:customStyle="1" w:styleId="EndNoteBibliography">
    <w:name w:val="EndNote Bibliography"/>
    <w:basedOn w:val="Normal"/>
    <w:rsid w:val="00D229A3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Taehoon Lee</dc:creator>
  <cp:lastModifiedBy>Taehoon Lee</cp:lastModifiedBy>
  <cp:revision>1</cp:revision>
  <dcterms:created xsi:type="dcterms:W3CDTF">2016-08-17T16:54:00Z</dcterms:created>
  <dcterms:modified xsi:type="dcterms:W3CDTF">2016-08-17T16:54:00Z</dcterms:modified>
</cp:coreProperties>
</file>