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660F" w:rsidRPr="003D5DE6" w:rsidRDefault="004F660F" w:rsidP="004F660F">
      <w:pPr>
        <w:pStyle w:val="Heading2"/>
        <w:spacing w:before="0"/>
        <w:jc w:val="center"/>
        <w:rPr>
          <w:rFonts w:ascii="Arial" w:hAnsi="Arial" w:cs="Arial"/>
          <w:b w:val="0"/>
          <w:color w:val="auto"/>
          <w:sz w:val="20"/>
          <w:szCs w:val="20"/>
        </w:rPr>
      </w:pPr>
      <w:bookmarkStart w:id="0" w:name="_Toc425945680"/>
      <w:r w:rsidRPr="003D5DE6">
        <w:rPr>
          <w:rFonts w:ascii="Arial" w:hAnsi="Arial" w:cs="Arial"/>
          <w:b w:val="0"/>
          <w:color w:val="auto"/>
          <w:sz w:val="20"/>
          <w:szCs w:val="20"/>
        </w:rPr>
        <w:t>Atomoxetine vs. Methylphenidate</w:t>
      </w:r>
      <w:bookmarkEnd w:id="0"/>
    </w:p>
    <w:p w:rsidR="004F660F" w:rsidRPr="003D5DE6" w:rsidRDefault="004F660F" w:rsidP="004F660F">
      <w:pPr>
        <w:spacing w:after="0" w:line="240" w:lineRule="auto"/>
        <w:jc w:val="center"/>
        <w:rPr>
          <w:rFonts w:ascii="Arial" w:eastAsia="Times New Roman" w:hAnsi="Arial" w:cs="Arial"/>
          <w:color w:val="000000"/>
          <w:sz w:val="20"/>
          <w:szCs w:val="20"/>
          <w:lang w:eastAsia="en-CA"/>
        </w:rPr>
      </w:pPr>
      <w:r w:rsidRPr="003D5DE6">
        <w:rPr>
          <w:rFonts w:ascii="Arial" w:eastAsia="Times New Roman" w:hAnsi="Arial" w:cs="Arial"/>
          <w:color w:val="000000"/>
          <w:sz w:val="20"/>
          <w:szCs w:val="20"/>
          <w:lang w:eastAsia="en-CA"/>
        </w:rPr>
        <w:t>Replacement to the List</w:t>
      </w:r>
    </w:p>
    <w:p w:rsidR="004F660F" w:rsidRPr="003D5DE6" w:rsidRDefault="004F660F" w:rsidP="004F660F">
      <w:pPr>
        <w:spacing w:after="0" w:line="240" w:lineRule="auto"/>
        <w:rPr>
          <w:rFonts w:ascii="Arial" w:eastAsia="Times New Roman" w:hAnsi="Arial" w:cs="Arial"/>
          <w:color w:val="000000"/>
          <w:sz w:val="20"/>
          <w:szCs w:val="20"/>
          <w:lang w:eastAsia="en-CA"/>
        </w:rPr>
      </w:pPr>
    </w:p>
    <w:p w:rsidR="004F660F" w:rsidRPr="003D5DE6" w:rsidRDefault="004F660F" w:rsidP="004F660F">
      <w:pPr>
        <w:spacing w:after="0" w:line="240" w:lineRule="auto"/>
        <w:rPr>
          <w:rFonts w:ascii="Arial" w:eastAsia="Times New Roman" w:hAnsi="Arial" w:cs="Arial"/>
          <w:color w:val="000000"/>
          <w:sz w:val="20"/>
          <w:szCs w:val="20"/>
          <w:lang w:eastAsia="en-CA"/>
        </w:rPr>
      </w:pPr>
      <w:r w:rsidRPr="003D5DE6">
        <w:rPr>
          <w:rFonts w:ascii="Arial" w:eastAsia="Times New Roman" w:hAnsi="Arial" w:cs="Arial"/>
          <w:color w:val="000000"/>
          <w:sz w:val="20"/>
          <w:szCs w:val="20"/>
          <w:lang w:eastAsia="en-CA"/>
        </w:rPr>
        <w:t>Peer Feedback:</w:t>
      </w:r>
    </w:p>
    <w:p w:rsidR="004F660F" w:rsidRPr="003D5DE6" w:rsidRDefault="004F660F" w:rsidP="004F660F">
      <w:pPr>
        <w:spacing w:after="0" w:line="240" w:lineRule="auto"/>
        <w:rPr>
          <w:rFonts w:ascii="Arial" w:eastAsia="Times New Roman" w:hAnsi="Arial" w:cs="Arial"/>
          <w:color w:val="000000"/>
          <w:sz w:val="20"/>
          <w:szCs w:val="20"/>
          <w:lang w:eastAsia="en-CA"/>
        </w:rPr>
      </w:pPr>
    </w:p>
    <w:p w:rsidR="004F660F" w:rsidRPr="003D5DE6" w:rsidRDefault="004F660F" w:rsidP="004F660F">
      <w:pPr>
        <w:spacing w:after="0" w:line="240" w:lineRule="auto"/>
        <w:rPr>
          <w:rFonts w:ascii="Arial" w:eastAsia="Times New Roman" w:hAnsi="Arial" w:cs="Arial"/>
          <w:color w:val="000000"/>
          <w:sz w:val="20"/>
          <w:szCs w:val="20"/>
          <w:lang w:eastAsia="en-CA"/>
        </w:rPr>
      </w:pPr>
      <w:r w:rsidRPr="003D5DE6">
        <w:rPr>
          <w:rFonts w:ascii="Arial" w:eastAsia="Times New Roman" w:hAnsi="Arial" w:cs="Arial"/>
          <w:color w:val="000000"/>
          <w:sz w:val="20"/>
          <w:szCs w:val="20"/>
          <w:lang w:eastAsia="en-CA"/>
        </w:rPr>
        <w:t>“Stimulants would be considered first line agents for ADHD. Atomoxetine would be reasonable if above not effective or contraindicated”</w:t>
      </w:r>
    </w:p>
    <w:p w:rsidR="004F660F" w:rsidRPr="003D5DE6" w:rsidRDefault="004F660F" w:rsidP="004F660F">
      <w:pPr>
        <w:spacing w:after="0" w:line="240" w:lineRule="auto"/>
        <w:rPr>
          <w:rFonts w:ascii="Arial" w:eastAsia="Times New Roman" w:hAnsi="Arial" w:cs="Arial"/>
          <w:color w:val="000000"/>
          <w:sz w:val="20"/>
          <w:szCs w:val="20"/>
          <w:lang w:eastAsia="en-CA"/>
        </w:rPr>
      </w:pPr>
    </w:p>
    <w:p w:rsidR="004F660F" w:rsidRPr="003D5DE6" w:rsidRDefault="004F660F" w:rsidP="004F660F">
      <w:pPr>
        <w:spacing w:after="0" w:line="240" w:lineRule="auto"/>
        <w:rPr>
          <w:rFonts w:ascii="Arial" w:eastAsia="Times New Roman" w:hAnsi="Arial" w:cs="Arial"/>
          <w:color w:val="000000"/>
          <w:sz w:val="20"/>
          <w:szCs w:val="20"/>
          <w:lang w:eastAsia="en-CA"/>
        </w:rPr>
      </w:pPr>
      <w:r w:rsidRPr="003D5DE6">
        <w:rPr>
          <w:rFonts w:ascii="Arial" w:eastAsia="Times New Roman" w:hAnsi="Arial" w:cs="Arial"/>
          <w:color w:val="000000"/>
          <w:sz w:val="20"/>
          <w:szCs w:val="20"/>
          <w:lang w:eastAsia="en-CA"/>
        </w:rPr>
        <w:t>Literature Review Question:</w:t>
      </w:r>
    </w:p>
    <w:p w:rsidR="004F660F" w:rsidRPr="003D5DE6" w:rsidRDefault="004F660F" w:rsidP="004F660F">
      <w:pPr>
        <w:spacing w:after="0" w:line="240" w:lineRule="auto"/>
        <w:rPr>
          <w:rFonts w:ascii="Arial" w:eastAsia="Times New Roman" w:hAnsi="Arial" w:cs="Arial"/>
          <w:color w:val="000000"/>
          <w:sz w:val="20"/>
          <w:szCs w:val="20"/>
          <w:lang w:eastAsia="en-CA"/>
        </w:rPr>
      </w:pPr>
    </w:p>
    <w:p w:rsidR="004F660F" w:rsidRPr="003D5DE6" w:rsidRDefault="004F660F" w:rsidP="004F660F">
      <w:pPr>
        <w:spacing w:after="0" w:line="240" w:lineRule="auto"/>
        <w:rPr>
          <w:rFonts w:ascii="Arial" w:eastAsia="Times New Roman" w:hAnsi="Arial" w:cs="Arial"/>
          <w:color w:val="000000"/>
          <w:sz w:val="20"/>
          <w:szCs w:val="20"/>
          <w:lang w:eastAsia="en-CA"/>
        </w:rPr>
      </w:pPr>
      <w:r w:rsidRPr="003D5DE6">
        <w:rPr>
          <w:rFonts w:ascii="Arial" w:eastAsia="Times New Roman" w:hAnsi="Arial" w:cs="Arial"/>
          <w:color w:val="000000"/>
          <w:sz w:val="20"/>
          <w:szCs w:val="20"/>
          <w:lang w:eastAsia="en-CA"/>
        </w:rPr>
        <w:t>What is the first line treatment of ADHD?</w:t>
      </w:r>
    </w:p>
    <w:p w:rsidR="004F660F" w:rsidRPr="003D5DE6" w:rsidRDefault="004F660F" w:rsidP="004F660F">
      <w:pPr>
        <w:spacing w:after="0" w:line="240" w:lineRule="auto"/>
        <w:rPr>
          <w:rFonts w:ascii="Arial" w:eastAsia="Times New Roman" w:hAnsi="Arial" w:cs="Arial"/>
          <w:color w:val="000000"/>
          <w:sz w:val="20"/>
          <w:szCs w:val="20"/>
          <w:lang w:eastAsia="en-CA"/>
        </w:rPr>
      </w:pPr>
    </w:p>
    <w:p w:rsidR="004F660F" w:rsidRPr="003D5DE6" w:rsidRDefault="004F660F" w:rsidP="004F660F">
      <w:pPr>
        <w:rPr>
          <w:rFonts w:ascii="Arial" w:hAnsi="Arial" w:cs="Arial"/>
          <w:sz w:val="20"/>
          <w:szCs w:val="20"/>
        </w:rPr>
      </w:pPr>
      <w:r w:rsidRPr="003D5DE6">
        <w:rPr>
          <w:rFonts w:ascii="Arial" w:hAnsi="Arial" w:cs="Arial"/>
          <w:sz w:val="20"/>
          <w:szCs w:val="20"/>
        </w:rPr>
        <w:t>Literature Search:</w:t>
      </w:r>
      <w:r w:rsidRPr="003D5DE6">
        <w:rPr>
          <w:rFonts w:ascii="Arial" w:hAnsi="Arial" w:cs="Arial"/>
          <w:sz w:val="20"/>
          <w:szCs w:val="20"/>
        </w:rPr>
        <w:br/>
        <w:t>Cochrane – attention deficit hyperactivity disorder</w:t>
      </w:r>
      <w:r w:rsidRPr="003D5DE6">
        <w:rPr>
          <w:rFonts w:ascii="Arial" w:hAnsi="Arial" w:cs="Arial"/>
          <w:sz w:val="20"/>
          <w:szCs w:val="20"/>
        </w:rPr>
        <w:br/>
        <w:t xml:space="preserve">eCPS - Psychiatric Disorders: Attention-Deficit Hyperactivity Disorder </w:t>
      </w:r>
      <w:r w:rsidRPr="003D5DE6">
        <w:rPr>
          <w:rFonts w:ascii="Arial" w:hAnsi="Arial" w:cs="Arial"/>
          <w:sz w:val="20"/>
          <w:szCs w:val="20"/>
        </w:rPr>
        <w:br/>
        <w:t>PubMed - Attention Deficit Hyperactivity Disorder AND amoxetine AND methylphenidate</w:t>
      </w:r>
      <w:r w:rsidRPr="003D5DE6">
        <w:rPr>
          <w:rFonts w:ascii="Arial" w:hAnsi="Arial" w:cs="Arial"/>
          <w:sz w:val="20"/>
          <w:szCs w:val="20"/>
        </w:rPr>
        <w:br/>
        <w:t>CPG via CMA</w:t>
      </w:r>
    </w:p>
    <w:p w:rsidR="004F660F" w:rsidRPr="003D5DE6" w:rsidRDefault="004F660F" w:rsidP="004F660F">
      <w:pPr>
        <w:rPr>
          <w:rFonts w:ascii="Arial" w:hAnsi="Arial" w:cs="Arial"/>
          <w:u w:val="single"/>
        </w:rPr>
      </w:pPr>
      <w:r w:rsidRPr="003D5DE6">
        <w:rPr>
          <w:rFonts w:ascii="Arial" w:hAnsi="Arial" w:cs="Arial"/>
          <w:u w:val="single"/>
        </w:rPr>
        <w:t>Canadian ADHD Practice Guidelines (CAP-Guidelines) Third Edition (Version March 2014)</w:t>
      </w:r>
    </w:p>
    <w:p w:rsidR="004F660F" w:rsidRPr="003D5DE6" w:rsidRDefault="004F660F" w:rsidP="004F660F">
      <w:pPr>
        <w:ind w:left="-720"/>
        <w:rPr>
          <w:noProof/>
          <w:lang w:eastAsia="en-CA"/>
        </w:rPr>
      </w:pPr>
      <w:r w:rsidRPr="003D5DE6">
        <w:rPr>
          <w:noProof/>
        </w:rPr>
        <w:drawing>
          <wp:inline distT="0" distB="0" distL="0" distR="0" wp14:anchorId="7235C19D" wp14:editId="1351A1B1">
            <wp:extent cx="6968112" cy="4263656"/>
            <wp:effectExtent l="0" t="0" r="4445" b="381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 b="54403"/>
                    <a:stretch/>
                  </pic:blipFill>
                  <pic:spPr bwMode="auto">
                    <a:xfrm>
                      <a:off x="0" y="0"/>
                      <a:ext cx="6978152" cy="4269799"/>
                    </a:xfrm>
                    <a:prstGeom prst="rect">
                      <a:avLst/>
                    </a:prstGeom>
                    <a:ln>
                      <a:noFill/>
                    </a:ln>
                    <a:extLst>
                      <a:ext uri="{53640926-AAD7-44d8-BBD7-CCE9431645EC}">
                        <a14:shadowObscured xmlns:a14="http://schemas.microsoft.com/office/drawing/2010/main"/>
                      </a:ext>
                    </a:extLst>
                  </pic:spPr>
                </pic:pic>
              </a:graphicData>
            </a:graphic>
          </wp:inline>
        </w:drawing>
      </w:r>
      <w:r w:rsidRPr="003D5DE6">
        <w:rPr>
          <w:noProof/>
          <w:lang w:eastAsia="en-CA"/>
        </w:rPr>
        <w:t xml:space="preserve"> </w:t>
      </w:r>
    </w:p>
    <w:p w:rsidR="004F660F" w:rsidRPr="003D5DE6" w:rsidRDefault="004F660F" w:rsidP="004F660F">
      <w:pPr>
        <w:ind w:left="-720"/>
      </w:pPr>
      <w:r w:rsidRPr="003D5DE6">
        <w:rPr>
          <w:noProof/>
        </w:rPr>
        <w:lastRenderedPageBreak/>
        <w:drawing>
          <wp:inline distT="0" distB="0" distL="0" distR="0" wp14:anchorId="3DB4CE4E" wp14:editId="5C5B595B">
            <wp:extent cx="6784515" cy="4029740"/>
            <wp:effectExtent l="0" t="0" r="0" b="889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45155" b="10581"/>
                    <a:stretch/>
                  </pic:blipFill>
                  <pic:spPr bwMode="auto">
                    <a:xfrm>
                      <a:off x="0" y="0"/>
                      <a:ext cx="6794437" cy="4035634"/>
                    </a:xfrm>
                    <a:prstGeom prst="rect">
                      <a:avLst/>
                    </a:prstGeom>
                    <a:ln>
                      <a:noFill/>
                    </a:ln>
                    <a:extLst>
                      <a:ext uri="{53640926-AAD7-44d8-BBD7-CCE9431645EC}">
                        <a14:shadowObscured xmlns:a14="http://schemas.microsoft.com/office/drawing/2010/main"/>
                      </a:ext>
                    </a:extLst>
                  </pic:spPr>
                </pic:pic>
              </a:graphicData>
            </a:graphic>
          </wp:inline>
        </w:drawing>
      </w:r>
      <w:r w:rsidRPr="003D5DE6">
        <w:rPr>
          <w:noProof/>
        </w:rPr>
        <w:drawing>
          <wp:inline distT="0" distB="0" distL="0" distR="0" wp14:anchorId="377FDBCA" wp14:editId="3F1FA528">
            <wp:extent cx="6715632" cy="1765005"/>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754116" cy="1775119"/>
                    </a:xfrm>
                    <a:prstGeom prst="rect">
                      <a:avLst/>
                    </a:prstGeom>
                  </pic:spPr>
                </pic:pic>
              </a:graphicData>
            </a:graphic>
          </wp:inline>
        </w:drawing>
      </w:r>
    </w:p>
    <w:p w:rsidR="004F660F" w:rsidRPr="003D5DE6" w:rsidRDefault="004F660F" w:rsidP="004F660F">
      <w:pPr>
        <w:rPr>
          <w:rFonts w:ascii="Arial" w:hAnsi="Arial" w:cs="Arial"/>
          <w:sz w:val="20"/>
          <w:szCs w:val="20"/>
        </w:rPr>
      </w:pPr>
      <w:r w:rsidRPr="003D5DE6">
        <w:rPr>
          <w:noProof/>
        </w:rPr>
        <w:drawing>
          <wp:inline distT="0" distB="0" distL="0" distR="0" wp14:anchorId="3C0FC207" wp14:editId="43935FDC">
            <wp:extent cx="5380074" cy="4784651"/>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90227" cy="4793680"/>
                    </a:xfrm>
                    <a:prstGeom prst="rect">
                      <a:avLst/>
                    </a:prstGeom>
                  </pic:spPr>
                </pic:pic>
              </a:graphicData>
            </a:graphic>
          </wp:inline>
        </w:drawing>
      </w:r>
      <w:r w:rsidRPr="003D5DE6">
        <w:rPr>
          <w:noProof/>
          <w:lang w:eastAsia="en-CA"/>
        </w:rPr>
        <w:t xml:space="preserve"> </w:t>
      </w:r>
      <w:r w:rsidRPr="003D5DE6">
        <w:rPr>
          <w:noProof/>
        </w:rPr>
        <w:drawing>
          <wp:inline distT="0" distB="0" distL="0" distR="0" wp14:anchorId="07D1422F" wp14:editId="01E4AE97">
            <wp:extent cx="5380074" cy="3083442"/>
            <wp:effectExtent l="0" t="0" r="0" b="317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18917" cy="3105704"/>
                    </a:xfrm>
                    <a:prstGeom prst="rect">
                      <a:avLst/>
                    </a:prstGeom>
                  </pic:spPr>
                </pic:pic>
              </a:graphicData>
            </a:graphic>
          </wp:inline>
        </w:drawing>
      </w:r>
    </w:p>
    <w:p w:rsidR="004F660F" w:rsidRPr="003D5DE6" w:rsidRDefault="004F660F" w:rsidP="004F660F">
      <w:pPr>
        <w:spacing w:after="0"/>
        <w:rPr>
          <w:rFonts w:ascii="Arial" w:hAnsi="Arial" w:cs="Arial"/>
          <w:sz w:val="16"/>
          <w:szCs w:val="20"/>
        </w:rPr>
      </w:pPr>
      <w:hyperlink r:id="rId9" w:history="1">
        <w:r w:rsidRPr="003D5DE6">
          <w:rPr>
            <w:rStyle w:val="Hyperlink"/>
            <w:rFonts w:ascii="Arial" w:hAnsi="Arial" w:cs="Arial"/>
            <w:sz w:val="16"/>
            <w:szCs w:val="20"/>
          </w:rPr>
          <w:t>http://www.caddra.ca/cms4/pdfs/caddraGuidelines2011.pdf</w:t>
        </w:r>
      </w:hyperlink>
    </w:p>
    <w:p w:rsidR="004F660F" w:rsidRPr="003D5DE6" w:rsidRDefault="004F660F" w:rsidP="004F660F">
      <w:pPr>
        <w:rPr>
          <w:rFonts w:ascii="Arial" w:hAnsi="Arial" w:cs="Arial"/>
          <w:sz w:val="18"/>
          <w:szCs w:val="20"/>
        </w:rPr>
      </w:pPr>
      <w:r w:rsidRPr="003D5DE6">
        <w:rPr>
          <w:rFonts w:ascii="Arial" w:hAnsi="Arial" w:cs="Arial"/>
          <w:sz w:val="18"/>
          <w:szCs w:val="20"/>
          <w:u w:val="single"/>
        </w:rPr>
        <w:t xml:space="preserve">Comparative efficacy and acceptability of atomoxetine, lisdexamfetamine, bupropion and methylphenidate (2015) </w:t>
      </w:r>
    </w:p>
    <w:p w:rsidR="004F660F" w:rsidRPr="003D5DE6" w:rsidRDefault="004F660F" w:rsidP="004F660F">
      <w:pPr>
        <w:rPr>
          <w:rFonts w:ascii="Arial" w:hAnsi="Arial" w:cs="Arial"/>
          <w:sz w:val="18"/>
          <w:szCs w:val="20"/>
        </w:rPr>
      </w:pPr>
      <w:r w:rsidRPr="003D5DE6">
        <w:rPr>
          <w:rFonts w:ascii="Arial" w:hAnsi="Arial" w:cs="Arial"/>
          <w:sz w:val="18"/>
          <w:szCs w:val="20"/>
        </w:rPr>
        <w:t>Treatment efficacy table (ATX – atomoxetine, BUP – buproprion, LDX – lisdexamfetamine, MPH – methylphenidate)</w:t>
      </w:r>
    </w:p>
    <w:p w:rsidR="004F660F" w:rsidRPr="003D5DE6" w:rsidRDefault="004F660F" w:rsidP="004F660F">
      <w:pPr>
        <w:rPr>
          <w:rFonts w:ascii="Arial" w:hAnsi="Arial" w:cs="Arial"/>
          <w:sz w:val="20"/>
          <w:szCs w:val="20"/>
        </w:rPr>
      </w:pPr>
      <w:r w:rsidRPr="003D5DE6">
        <w:rPr>
          <w:noProof/>
        </w:rPr>
        <w:drawing>
          <wp:inline distT="0" distB="0" distL="0" distR="0" wp14:anchorId="3D0A7C18" wp14:editId="56478920">
            <wp:extent cx="5442169" cy="7157384"/>
            <wp:effectExtent l="0" t="0" r="6350" b="571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56905" cy="7176764"/>
                    </a:xfrm>
                    <a:prstGeom prst="rect">
                      <a:avLst/>
                    </a:prstGeom>
                  </pic:spPr>
                </pic:pic>
              </a:graphicData>
            </a:graphic>
          </wp:inline>
        </w:drawing>
      </w:r>
    </w:p>
    <w:p w:rsidR="004F660F" w:rsidRPr="003D5DE6" w:rsidRDefault="004F660F" w:rsidP="004F660F">
      <w:pPr>
        <w:rPr>
          <w:rFonts w:ascii="Arial" w:hAnsi="Arial" w:cs="Arial"/>
          <w:sz w:val="20"/>
          <w:szCs w:val="20"/>
        </w:rPr>
      </w:pPr>
      <w:r w:rsidRPr="003D5DE6">
        <w:rPr>
          <w:rFonts w:ascii="Arial" w:hAnsi="Arial" w:cs="Arial"/>
          <w:sz w:val="20"/>
          <w:szCs w:val="20"/>
        </w:rPr>
        <w:br w:type="page"/>
      </w:r>
    </w:p>
    <w:p w:rsidR="004F660F" w:rsidRPr="003D5DE6" w:rsidRDefault="004F660F" w:rsidP="004F660F">
      <w:pPr>
        <w:rPr>
          <w:rFonts w:ascii="Arial" w:hAnsi="Arial" w:cs="Arial"/>
          <w:sz w:val="20"/>
          <w:szCs w:val="20"/>
        </w:rPr>
      </w:pPr>
      <w:r w:rsidRPr="003D5DE6">
        <w:rPr>
          <w:rFonts w:ascii="Arial" w:hAnsi="Arial" w:cs="Arial"/>
          <w:sz w:val="20"/>
          <w:szCs w:val="20"/>
        </w:rPr>
        <w:t>Treatment acceptability table</w:t>
      </w:r>
    </w:p>
    <w:p w:rsidR="004F660F" w:rsidRPr="003D5DE6" w:rsidRDefault="004F660F" w:rsidP="004F660F">
      <w:pPr>
        <w:rPr>
          <w:rFonts w:ascii="Arial" w:hAnsi="Arial" w:cs="Arial"/>
          <w:sz w:val="20"/>
          <w:szCs w:val="20"/>
        </w:rPr>
      </w:pPr>
      <w:r w:rsidRPr="003D5DE6">
        <w:rPr>
          <w:noProof/>
        </w:rPr>
        <w:drawing>
          <wp:inline distT="0" distB="0" distL="0" distR="0" wp14:anchorId="11646A64" wp14:editId="54524908">
            <wp:extent cx="5316136" cy="7714380"/>
            <wp:effectExtent l="0" t="0" r="0" b="127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16798" cy="7715340"/>
                    </a:xfrm>
                    <a:prstGeom prst="rect">
                      <a:avLst/>
                    </a:prstGeom>
                  </pic:spPr>
                </pic:pic>
              </a:graphicData>
            </a:graphic>
          </wp:inline>
        </w:drawing>
      </w:r>
    </w:p>
    <w:p w:rsidR="004F660F" w:rsidRPr="003D5DE6" w:rsidRDefault="004F660F" w:rsidP="004F660F">
      <w:pPr>
        <w:rPr>
          <w:rFonts w:ascii="Arial" w:hAnsi="Arial" w:cs="Arial"/>
          <w:sz w:val="20"/>
          <w:szCs w:val="20"/>
        </w:rPr>
      </w:pPr>
      <w:r w:rsidRPr="003D5DE6">
        <w:rPr>
          <w:rFonts w:ascii="Arial" w:hAnsi="Arial" w:cs="Arial"/>
          <w:color w:val="222222"/>
          <w:sz w:val="20"/>
          <w:szCs w:val="20"/>
          <w:shd w:val="clear" w:color="auto" w:fill="FFFFFF"/>
        </w:rPr>
        <w:t>Stuhec, Matej, et al. "Comparative efficacy and acceptability of atomoxetine, lisdexamfetamine, bupropion and methylphenidate in treatment of attention deficit hyperactivity disorder in children and adolescents: A meta-analysis with focus on bupropion."</w:t>
      </w:r>
      <w:r w:rsidRPr="003D5DE6">
        <w:rPr>
          <w:rStyle w:val="apple-converted-space"/>
          <w:rFonts w:ascii="Arial" w:hAnsi="Arial" w:cs="Arial"/>
          <w:color w:val="222222"/>
          <w:sz w:val="20"/>
          <w:szCs w:val="20"/>
          <w:shd w:val="clear" w:color="auto" w:fill="FFFFFF"/>
        </w:rPr>
        <w:t> </w:t>
      </w:r>
      <w:r w:rsidRPr="003D5DE6">
        <w:rPr>
          <w:rFonts w:ascii="Arial" w:hAnsi="Arial" w:cs="Arial"/>
          <w:i/>
          <w:iCs/>
          <w:color w:val="222222"/>
          <w:sz w:val="20"/>
          <w:szCs w:val="20"/>
          <w:shd w:val="clear" w:color="auto" w:fill="FFFFFF"/>
        </w:rPr>
        <w:t>Journal of affective disorders</w:t>
      </w:r>
      <w:r w:rsidRPr="003D5DE6">
        <w:rPr>
          <w:rStyle w:val="apple-converted-space"/>
          <w:rFonts w:ascii="Arial" w:hAnsi="Arial" w:cs="Arial"/>
          <w:color w:val="222222"/>
          <w:sz w:val="20"/>
          <w:szCs w:val="20"/>
          <w:shd w:val="clear" w:color="auto" w:fill="FFFFFF"/>
        </w:rPr>
        <w:t> </w:t>
      </w:r>
      <w:r w:rsidRPr="003D5DE6">
        <w:rPr>
          <w:rFonts w:ascii="Arial" w:hAnsi="Arial" w:cs="Arial"/>
          <w:color w:val="222222"/>
          <w:sz w:val="20"/>
          <w:szCs w:val="20"/>
          <w:shd w:val="clear" w:color="auto" w:fill="FFFFFF"/>
        </w:rPr>
        <w:t>178 (2015): 149-159.</w:t>
      </w:r>
    </w:p>
    <w:p w:rsidR="004F660F" w:rsidRPr="003D5DE6" w:rsidRDefault="004F660F" w:rsidP="004F660F">
      <w:pPr>
        <w:rPr>
          <w:rFonts w:ascii="Arial" w:hAnsi="Arial" w:cs="Arial"/>
          <w:sz w:val="20"/>
          <w:szCs w:val="20"/>
          <w:u w:val="single"/>
        </w:rPr>
      </w:pPr>
      <w:r w:rsidRPr="003D5DE6">
        <w:rPr>
          <w:rFonts w:ascii="Arial" w:hAnsi="Arial" w:cs="Arial"/>
          <w:sz w:val="20"/>
          <w:szCs w:val="20"/>
          <w:u w:val="single"/>
        </w:rPr>
        <w:t>Texas Children’s Medication Algorithm Project 2006</w:t>
      </w:r>
    </w:p>
    <w:p w:rsidR="004F660F" w:rsidRPr="003D5DE6" w:rsidRDefault="004F660F" w:rsidP="004F660F">
      <w:pPr>
        <w:rPr>
          <w:rFonts w:ascii="Arial" w:hAnsi="Arial" w:cs="Arial"/>
          <w:sz w:val="20"/>
          <w:szCs w:val="20"/>
          <w:u w:val="single"/>
        </w:rPr>
      </w:pPr>
      <w:r w:rsidRPr="003D5DE6">
        <w:rPr>
          <w:noProof/>
        </w:rPr>
        <w:drawing>
          <wp:inline distT="0" distB="0" distL="0" distR="0" wp14:anchorId="73C8956A" wp14:editId="7118F7B8">
            <wp:extent cx="5775562" cy="711332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86625" cy="7126945"/>
                    </a:xfrm>
                    <a:prstGeom prst="rect">
                      <a:avLst/>
                    </a:prstGeom>
                  </pic:spPr>
                </pic:pic>
              </a:graphicData>
            </a:graphic>
          </wp:inline>
        </w:drawing>
      </w:r>
    </w:p>
    <w:p w:rsidR="004F660F" w:rsidRPr="003D5DE6" w:rsidRDefault="004F660F" w:rsidP="004F660F">
      <w:pPr>
        <w:rPr>
          <w:rFonts w:ascii="Arial" w:hAnsi="Arial" w:cs="Arial"/>
          <w:sz w:val="16"/>
          <w:szCs w:val="20"/>
        </w:rPr>
      </w:pPr>
      <w:r w:rsidRPr="003D5DE6">
        <w:rPr>
          <w:rFonts w:ascii="Arial" w:hAnsi="Arial" w:cs="Arial"/>
          <w:color w:val="222222"/>
          <w:sz w:val="16"/>
          <w:szCs w:val="20"/>
          <w:shd w:val="clear" w:color="auto" w:fill="FFFFFF"/>
        </w:rPr>
        <w:t>Pliszka, Steven R., et al. "The Texas Children's Medication Algorithm Project: revision of the algorithm for pharmacotherapy of attention-deficit/hyperactivity disorder."</w:t>
      </w:r>
      <w:r w:rsidRPr="003D5DE6">
        <w:rPr>
          <w:rStyle w:val="apple-converted-space"/>
          <w:rFonts w:ascii="Arial" w:hAnsi="Arial" w:cs="Arial"/>
          <w:color w:val="222222"/>
          <w:sz w:val="16"/>
          <w:szCs w:val="20"/>
          <w:shd w:val="clear" w:color="auto" w:fill="FFFFFF"/>
        </w:rPr>
        <w:t> </w:t>
      </w:r>
      <w:r w:rsidRPr="003D5DE6">
        <w:rPr>
          <w:rFonts w:ascii="Arial" w:hAnsi="Arial" w:cs="Arial"/>
          <w:i/>
          <w:iCs/>
          <w:color w:val="222222"/>
          <w:sz w:val="16"/>
          <w:szCs w:val="20"/>
          <w:shd w:val="clear" w:color="auto" w:fill="FFFFFF"/>
        </w:rPr>
        <w:t>Journal of the American Academy of Child &amp; Adolescent Psychiatry</w:t>
      </w:r>
      <w:r w:rsidRPr="003D5DE6">
        <w:rPr>
          <w:rFonts w:ascii="Arial" w:hAnsi="Arial" w:cs="Arial"/>
          <w:color w:val="222222"/>
          <w:sz w:val="16"/>
          <w:szCs w:val="20"/>
          <w:shd w:val="clear" w:color="auto" w:fill="FFFFFF"/>
        </w:rPr>
        <w:t>45.6 (2006): 642-657.</w:t>
      </w:r>
    </w:p>
    <w:p w:rsidR="004F660F" w:rsidRPr="003D5DE6" w:rsidRDefault="004F660F" w:rsidP="004F660F">
      <w:pPr>
        <w:rPr>
          <w:rFonts w:ascii="Arial" w:hAnsi="Arial" w:cs="Arial"/>
          <w:sz w:val="20"/>
          <w:szCs w:val="20"/>
          <w:u w:val="single"/>
        </w:rPr>
      </w:pPr>
      <w:r w:rsidRPr="003D5DE6">
        <w:rPr>
          <w:rFonts w:ascii="Arial" w:hAnsi="Arial" w:cs="Arial"/>
          <w:sz w:val="20"/>
          <w:szCs w:val="20"/>
          <w:u w:val="single"/>
        </w:rPr>
        <w:t>eCPS (2015)</w:t>
      </w:r>
    </w:p>
    <w:p w:rsidR="004F660F" w:rsidRPr="003D5DE6" w:rsidRDefault="004F660F" w:rsidP="004F660F">
      <w:pPr>
        <w:rPr>
          <w:rFonts w:ascii="Arial" w:hAnsi="Arial" w:cs="Arial"/>
          <w:sz w:val="20"/>
          <w:szCs w:val="20"/>
        </w:rPr>
      </w:pPr>
      <w:r w:rsidRPr="003D5DE6">
        <w:rPr>
          <w:rFonts w:ascii="Arial" w:hAnsi="Arial" w:cs="Arial"/>
          <w:sz w:val="20"/>
          <w:szCs w:val="20"/>
        </w:rPr>
        <w:t>Stimulant medications (dextroamphetamine, lisdexamfetamine, methylphenidate, mixed salts amphetamine) have been considered first-line agents for treating ADHD for decades.2 , 4 , 5 , 9 Their efficacy at reducing core ADHD symptoms has been demonstrated in a wide range of patients aged 6 years to adult.5 , 9 Controlled trials consistently demonstrate that at least 70% of patients receiving stimulant therapy will have a clinically significant decrease in core ADHD symptoms.2 , 4 , 8 , 9 Stimulants have not been adequately studied in terms of important long-term outcomes such as quality of life, employment, school completion and long-term morbidity or mortality.</w:t>
      </w:r>
    </w:p>
    <w:p w:rsidR="004F660F" w:rsidRPr="003D5DE6" w:rsidRDefault="004F660F" w:rsidP="004F660F">
      <w:pPr>
        <w:rPr>
          <w:rFonts w:ascii="Arial" w:hAnsi="Arial" w:cs="Arial"/>
          <w:sz w:val="20"/>
          <w:szCs w:val="20"/>
        </w:rPr>
      </w:pPr>
      <w:r w:rsidRPr="003D5DE6">
        <w:rPr>
          <w:rFonts w:ascii="Arial" w:hAnsi="Arial" w:cs="Arial"/>
          <w:sz w:val="20"/>
          <w:szCs w:val="20"/>
        </w:rPr>
        <w:t>Atomoxetine, a norepinephrine reuptake inhibitor, is indicated for the treatment of children ≥6 years of age, adolescents and adults with ADHD. It is not classified as a stimulant and is not a controlled substance. The efficacy and tolerability of atomoxetine have been studied in several well-designed trials.28 , 29 , 30 , 31 , 32 , 33 , 34 RCTs confirm that after 6–12 weeks of treatment, atomoxetine reduces core ADHD symptoms by at least 25–30% in 60–70% of individuals.29 , 32 , 34 The efficacy of atomoxetine approaches that of stimulants. While some guidelines list it as a first-line option, the available evidence supports a role in therapy for those who have either not responded to or not tolerated an adequate trial of stimulant medications. It should also be considered for those with ADHD and comorbid substance abuse disorder or depression.9 , 35</w:t>
      </w:r>
    </w:p>
    <w:p w:rsidR="004F660F" w:rsidRPr="003D5DE6" w:rsidRDefault="004F660F" w:rsidP="004F660F">
      <w:pPr>
        <w:rPr>
          <w:rFonts w:ascii="Arial" w:hAnsi="Arial" w:cs="Arial"/>
          <w:sz w:val="20"/>
          <w:szCs w:val="20"/>
        </w:rPr>
      </w:pPr>
      <w:r w:rsidRPr="003D5DE6">
        <w:rPr>
          <w:rFonts w:ascii="Arial" w:hAnsi="Arial" w:cs="Arial"/>
          <w:sz w:val="20"/>
          <w:szCs w:val="20"/>
        </w:rPr>
        <w:t>Evidence suggests that a combination of nonpharmacologic (e.g., behaviour modification programs) and pharmacologic therapies constitutes the best treatment strategy for children with ADHD.7 , 8 Stimulant medications and atomoxetine are the most effective treatment for the core symptoms of ADHD (hyperactivity, impulsiveness and inattention).5 , 8 , 9 Behavioural therapies play an important role in improving social interactions, self-esteem and the common behaviours seen in ADHD.8 , 10</w:t>
      </w:r>
    </w:p>
    <w:p w:rsidR="004F660F" w:rsidRPr="003D5DE6" w:rsidRDefault="004F660F" w:rsidP="004F660F">
      <w:pPr>
        <w:rPr>
          <w:rFonts w:ascii="Arial" w:hAnsi="Arial" w:cs="Arial"/>
          <w:sz w:val="20"/>
          <w:szCs w:val="20"/>
        </w:rPr>
      </w:pPr>
      <w:r w:rsidRPr="003D5DE6">
        <w:rPr>
          <w:rFonts w:ascii="Arial" w:hAnsi="Arial" w:cs="Arial"/>
          <w:sz w:val="20"/>
          <w:szCs w:val="20"/>
        </w:rPr>
        <w:t xml:space="preserve">Adil Virani, BSc(Pharm), Pharm D, FCSHP; Psychiatric Disorders: Attention-Deficit Hyperactivity Disorder; Date of revision: April 2015; </w:t>
      </w:r>
      <w:hyperlink r:id="rId13" w:history="1">
        <w:r w:rsidRPr="003D5DE6">
          <w:rPr>
            <w:rStyle w:val="Hyperlink"/>
            <w:rFonts w:ascii="Arial" w:hAnsi="Arial" w:cs="Arial"/>
            <w:sz w:val="20"/>
            <w:szCs w:val="20"/>
          </w:rPr>
          <w:t>https://www-e-therapeutics-ca.myaccess.library.utoronto.ca/tc.showChapter.action?documentId=c0003</w:t>
        </w:r>
      </w:hyperlink>
      <w:r w:rsidRPr="003D5DE6">
        <w:rPr>
          <w:rStyle w:val="Hyperlink"/>
          <w:rFonts w:ascii="Arial" w:hAnsi="Arial" w:cs="Arial"/>
          <w:sz w:val="20"/>
          <w:szCs w:val="20"/>
        </w:rPr>
        <w:br/>
      </w:r>
    </w:p>
    <w:tbl>
      <w:tblPr>
        <w:tblW w:w="6251" w:type="pct"/>
        <w:tblCellSpacing w:w="0" w:type="dxa"/>
        <w:tblInd w:w="-1137"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2130"/>
        <w:gridCol w:w="2136"/>
        <w:gridCol w:w="2391"/>
        <w:gridCol w:w="2105"/>
        <w:gridCol w:w="1620"/>
        <w:gridCol w:w="595"/>
      </w:tblGrid>
      <w:tr w:rsidR="004F660F" w:rsidRPr="003D5DE6" w:rsidTr="00743C1B">
        <w:trPr>
          <w:tblHeader/>
          <w:tblCellSpacing w:w="0" w:type="dxa"/>
        </w:trPr>
        <w:tc>
          <w:tcPr>
            <w:tcW w:w="970" w:type="pct"/>
            <w:tcBorders>
              <w:top w:val="single" w:sz="2" w:space="0" w:color="000000"/>
              <w:left w:val="single" w:sz="2" w:space="0" w:color="000000"/>
              <w:bottom w:val="single" w:sz="6" w:space="0" w:color="000000"/>
              <w:right w:val="single" w:sz="6" w:space="0" w:color="000000"/>
            </w:tcBorders>
            <w:shd w:val="clear" w:color="auto" w:fill="CEDFEF"/>
            <w:tcMar>
              <w:top w:w="60" w:type="dxa"/>
              <w:left w:w="60" w:type="dxa"/>
              <w:bottom w:w="60" w:type="dxa"/>
              <w:right w:w="60" w:type="dxa"/>
            </w:tcMar>
            <w:vAlign w:val="bottom"/>
            <w:hideMark/>
          </w:tcPr>
          <w:p w:rsidR="004F660F" w:rsidRPr="003D5DE6" w:rsidRDefault="004F660F" w:rsidP="00743C1B">
            <w:pPr>
              <w:spacing w:after="0" w:line="240" w:lineRule="auto"/>
              <w:jc w:val="center"/>
              <w:rPr>
                <w:rFonts w:ascii="Verdana" w:eastAsia="Times New Roman" w:hAnsi="Verdana" w:cs="Times New Roman"/>
                <w:b/>
                <w:bCs/>
                <w:color w:val="000000"/>
                <w:sz w:val="17"/>
                <w:szCs w:val="17"/>
                <w:lang w:eastAsia="en-CA"/>
              </w:rPr>
            </w:pPr>
            <w:r w:rsidRPr="003D5DE6">
              <w:rPr>
                <w:rFonts w:ascii="Verdana" w:eastAsia="Times New Roman" w:hAnsi="Verdana" w:cs="Times New Roman"/>
                <w:b/>
                <w:bCs/>
                <w:color w:val="000000"/>
                <w:sz w:val="17"/>
                <w:szCs w:val="17"/>
                <w:lang w:eastAsia="en-CA"/>
              </w:rPr>
              <w:t>Drug </w:t>
            </w:r>
          </w:p>
        </w:tc>
        <w:tc>
          <w:tcPr>
            <w:tcW w:w="973" w:type="pct"/>
            <w:tcBorders>
              <w:top w:val="single" w:sz="2" w:space="0" w:color="000000"/>
              <w:left w:val="single" w:sz="2" w:space="0" w:color="000000"/>
              <w:bottom w:val="single" w:sz="6" w:space="0" w:color="000000"/>
              <w:right w:val="single" w:sz="6" w:space="0" w:color="000000"/>
            </w:tcBorders>
            <w:shd w:val="clear" w:color="auto" w:fill="CEDFEF"/>
            <w:tcMar>
              <w:top w:w="60" w:type="dxa"/>
              <w:left w:w="60" w:type="dxa"/>
              <w:bottom w:w="60" w:type="dxa"/>
              <w:right w:w="60" w:type="dxa"/>
            </w:tcMar>
            <w:vAlign w:val="bottom"/>
            <w:hideMark/>
          </w:tcPr>
          <w:p w:rsidR="004F660F" w:rsidRPr="003D5DE6" w:rsidRDefault="004F660F" w:rsidP="00743C1B">
            <w:pPr>
              <w:spacing w:after="0" w:line="240" w:lineRule="auto"/>
              <w:jc w:val="center"/>
              <w:rPr>
                <w:rFonts w:ascii="Verdana" w:eastAsia="Times New Roman" w:hAnsi="Verdana" w:cs="Times New Roman"/>
                <w:b/>
                <w:bCs/>
                <w:color w:val="000000"/>
                <w:sz w:val="17"/>
                <w:szCs w:val="17"/>
                <w:lang w:eastAsia="en-CA"/>
              </w:rPr>
            </w:pPr>
            <w:r w:rsidRPr="003D5DE6">
              <w:rPr>
                <w:rFonts w:ascii="Verdana" w:eastAsia="Times New Roman" w:hAnsi="Verdana" w:cs="Times New Roman"/>
                <w:b/>
                <w:bCs/>
                <w:color w:val="000000"/>
                <w:sz w:val="17"/>
                <w:szCs w:val="17"/>
                <w:lang w:eastAsia="en-CA"/>
              </w:rPr>
              <w:t>Dose </w:t>
            </w:r>
          </w:p>
        </w:tc>
        <w:tc>
          <w:tcPr>
            <w:tcW w:w="1089" w:type="pct"/>
            <w:tcBorders>
              <w:top w:val="single" w:sz="2" w:space="0" w:color="000000"/>
              <w:left w:val="single" w:sz="2" w:space="0" w:color="000000"/>
              <w:bottom w:val="single" w:sz="6" w:space="0" w:color="000000"/>
              <w:right w:val="single" w:sz="6" w:space="0" w:color="000000"/>
            </w:tcBorders>
            <w:shd w:val="clear" w:color="auto" w:fill="CEDFEF"/>
            <w:tcMar>
              <w:top w:w="60" w:type="dxa"/>
              <w:left w:w="60" w:type="dxa"/>
              <w:bottom w:w="60" w:type="dxa"/>
              <w:right w:w="60" w:type="dxa"/>
            </w:tcMar>
            <w:vAlign w:val="bottom"/>
            <w:hideMark/>
          </w:tcPr>
          <w:p w:rsidR="004F660F" w:rsidRPr="003D5DE6" w:rsidRDefault="004F660F" w:rsidP="00743C1B">
            <w:pPr>
              <w:spacing w:after="0" w:line="240" w:lineRule="auto"/>
              <w:jc w:val="center"/>
              <w:rPr>
                <w:rFonts w:ascii="Verdana" w:eastAsia="Times New Roman" w:hAnsi="Verdana" w:cs="Times New Roman"/>
                <w:b/>
                <w:bCs/>
                <w:color w:val="000000"/>
                <w:sz w:val="17"/>
                <w:szCs w:val="17"/>
                <w:lang w:eastAsia="en-CA"/>
              </w:rPr>
            </w:pPr>
            <w:r w:rsidRPr="003D5DE6">
              <w:rPr>
                <w:rFonts w:ascii="Verdana" w:eastAsia="Times New Roman" w:hAnsi="Verdana" w:cs="Times New Roman"/>
                <w:b/>
                <w:bCs/>
                <w:color w:val="000000"/>
                <w:sz w:val="17"/>
                <w:szCs w:val="17"/>
                <w:lang w:eastAsia="en-CA"/>
              </w:rPr>
              <w:t>Adverse Effects </w:t>
            </w:r>
          </w:p>
        </w:tc>
        <w:tc>
          <w:tcPr>
            <w:tcW w:w="959" w:type="pct"/>
            <w:tcBorders>
              <w:top w:val="single" w:sz="2" w:space="0" w:color="000000"/>
              <w:left w:val="single" w:sz="2" w:space="0" w:color="000000"/>
              <w:bottom w:val="single" w:sz="6" w:space="0" w:color="000000"/>
              <w:right w:val="single" w:sz="6" w:space="0" w:color="000000"/>
            </w:tcBorders>
            <w:shd w:val="clear" w:color="auto" w:fill="CEDFEF"/>
            <w:tcMar>
              <w:top w:w="60" w:type="dxa"/>
              <w:left w:w="60" w:type="dxa"/>
              <w:bottom w:w="60" w:type="dxa"/>
              <w:right w:w="60" w:type="dxa"/>
            </w:tcMar>
            <w:vAlign w:val="bottom"/>
            <w:hideMark/>
          </w:tcPr>
          <w:p w:rsidR="004F660F" w:rsidRPr="003D5DE6" w:rsidRDefault="004F660F" w:rsidP="00743C1B">
            <w:pPr>
              <w:spacing w:after="0" w:line="240" w:lineRule="auto"/>
              <w:jc w:val="center"/>
              <w:rPr>
                <w:rFonts w:ascii="Verdana" w:eastAsia="Times New Roman" w:hAnsi="Verdana" w:cs="Times New Roman"/>
                <w:b/>
                <w:bCs/>
                <w:color w:val="000000"/>
                <w:sz w:val="17"/>
                <w:szCs w:val="17"/>
                <w:lang w:eastAsia="en-CA"/>
              </w:rPr>
            </w:pPr>
            <w:r w:rsidRPr="003D5DE6">
              <w:rPr>
                <w:rFonts w:ascii="Verdana" w:eastAsia="Times New Roman" w:hAnsi="Verdana" w:cs="Times New Roman"/>
                <w:b/>
                <w:bCs/>
                <w:color w:val="000000"/>
                <w:sz w:val="17"/>
                <w:szCs w:val="17"/>
                <w:lang w:eastAsia="en-CA"/>
              </w:rPr>
              <w:t>Drug Interactions </w:t>
            </w:r>
          </w:p>
        </w:tc>
        <w:tc>
          <w:tcPr>
            <w:tcW w:w="738" w:type="pct"/>
            <w:tcBorders>
              <w:top w:val="single" w:sz="2" w:space="0" w:color="000000"/>
              <w:left w:val="single" w:sz="2" w:space="0" w:color="000000"/>
              <w:bottom w:val="single" w:sz="6" w:space="0" w:color="000000"/>
              <w:right w:val="single" w:sz="6" w:space="0" w:color="000000"/>
            </w:tcBorders>
            <w:shd w:val="clear" w:color="auto" w:fill="CEDFEF"/>
            <w:tcMar>
              <w:top w:w="60" w:type="dxa"/>
              <w:left w:w="60" w:type="dxa"/>
              <w:bottom w:w="60" w:type="dxa"/>
              <w:right w:w="60" w:type="dxa"/>
            </w:tcMar>
            <w:vAlign w:val="bottom"/>
            <w:hideMark/>
          </w:tcPr>
          <w:p w:rsidR="004F660F" w:rsidRPr="003D5DE6" w:rsidRDefault="004F660F" w:rsidP="00743C1B">
            <w:pPr>
              <w:spacing w:after="0" w:line="240" w:lineRule="auto"/>
              <w:jc w:val="center"/>
              <w:rPr>
                <w:rFonts w:ascii="Verdana" w:eastAsia="Times New Roman" w:hAnsi="Verdana" w:cs="Times New Roman"/>
                <w:b/>
                <w:bCs/>
                <w:color w:val="000000"/>
                <w:sz w:val="17"/>
                <w:szCs w:val="17"/>
                <w:lang w:eastAsia="en-CA"/>
              </w:rPr>
            </w:pPr>
            <w:r w:rsidRPr="003D5DE6">
              <w:rPr>
                <w:rFonts w:ascii="Verdana" w:eastAsia="Times New Roman" w:hAnsi="Verdana" w:cs="Times New Roman"/>
                <w:b/>
                <w:bCs/>
                <w:color w:val="000000"/>
                <w:sz w:val="17"/>
                <w:szCs w:val="17"/>
                <w:lang w:eastAsia="en-CA"/>
              </w:rPr>
              <w:t>Comments </w:t>
            </w:r>
          </w:p>
        </w:tc>
        <w:tc>
          <w:tcPr>
            <w:tcW w:w="271" w:type="pct"/>
            <w:tcBorders>
              <w:top w:val="single" w:sz="2" w:space="0" w:color="000000"/>
              <w:left w:val="single" w:sz="2" w:space="0" w:color="000000"/>
              <w:bottom w:val="single" w:sz="6" w:space="0" w:color="000000"/>
              <w:right w:val="single" w:sz="6" w:space="0" w:color="000000"/>
            </w:tcBorders>
            <w:shd w:val="clear" w:color="auto" w:fill="CEDFEF"/>
            <w:tcMar>
              <w:top w:w="60" w:type="dxa"/>
              <w:left w:w="60" w:type="dxa"/>
              <w:bottom w:w="60" w:type="dxa"/>
              <w:right w:w="60" w:type="dxa"/>
            </w:tcMar>
            <w:vAlign w:val="bottom"/>
            <w:hideMark/>
          </w:tcPr>
          <w:p w:rsidR="004F660F" w:rsidRPr="003D5DE6" w:rsidRDefault="004F660F" w:rsidP="00743C1B">
            <w:pPr>
              <w:spacing w:after="0" w:line="240" w:lineRule="auto"/>
              <w:jc w:val="center"/>
              <w:rPr>
                <w:rFonts w:ascii="Verdana" w:eastAsia="Times New Roman" w:hAnsi="Verdana" w:cs="Times New Roman"/>
                <w:b/>
                <w:bCs/>
                <w:color w:val="000000"/>
                <w:sz w:val="17"/>
                <w:szCs w:val="17"/>
                <w:lang w:eastAsia="en-CA"/>
              </w:rPr>
            </w:pPr>
            <w:r w:rsidRPr="003D5DE6">
              <w:rPr>
                <w:rFonts w:ascii="Verdana" w:eastAsia="Times New Roman" w:hAnsi="Verdana" w:cs="Times New Roman"/>
                <w:b/>
                <w:bCs/>
                <w:color w:val="000000"/>
                <w:sz w:val="17"/>
                <w:szCs w:val="17"/>
                <w:lang w:eastAsia="en-CA"/>
              </w:rPr>
              <w:t>Cost</w:t>
            </w:r>
            <w:hyperlink r:id="rId14" w:anchor="c0003n00017" w:history="1">
              <w:r w:rsidRPr="003D5DE6">
                <w:rPr>
                  <w:rFonts w:ascii="Verdana" w:eastAsia="Times New Roman" w:hAnsi="Verdana" w:cs="Times New Roman"/>
                  <w:b/>
                  <w:bCs/>
                  <w:color w:val="3C63E2"/>
                  <w:sz w:val="17"/>
                  <w:szCs w:val="17"/>
                  <w:u w:val="single"/>
                  <w:vertAlign w:val="superscript"/>
                  <w:lang w:eastAsia="en-CA"/>
                </w:rPr>
                <w:t>a</w:t>
              </w:r>
            </w:hyperlink>
            <w:r w:rsidRPr="003D5DE6">
              <w:rPr>
                <w:rFonts w:ascii="Verdana" w:eastAsia="Times New Roman" w:hAnsi="Verdana" w:cs="Times New Roman"/>
                <w:b/>
                <w:bCs/>
                <w:color w:val="000000"/>
                <w:sz w:val="17"/>
                <w:szCs w:val="17"/>
                <w:lang w:eastAsia="en-CA"/>
              </w:rPr>
              <w:t> </w:t>
            </w:r>
          </w:p>
        </w:tc>
      </w:tr>
      <w:tr w:rsidR="004F660F" w:rsidRPr="003D5DE6" w:rsidTr="00743C1B">
        <w:trPr>
          <w:tblCellSpacing w:w="0" w:type="dxa"/>
        </w:trPr>
        <w:tc>
          <w:tcPr>
            <w:tcW w:w="970" w:type="pct"/>
            <w:tcBorders>
              <w:top w:val="single" w:sz="2" w:space="0" w:color="000000"/>
              <w:left w:val="single" w:sz="2" w:space="0" w:color="000000"/>
              <w:bottom w:val="single" w:sz="6" w:space="0" w:color="000000"/>
              <w:right w:val="single" w:sz="6" w:space="0" w:color="000000"/>
            </w:tcBorders>
            <w:tcMar>
              <w:top w:w="60" w:type="dxa"/>
              <w:left w:w="60" w:type="dxa"/>
              <w:bottom w:w="60" w:type="dxa"/>
              <w:right w:w="60" w:type="dxa"/>
            </w:tcMar>
            <w:hideMark/>
          </w:tcPr>
          <w:p w:rsidR="004F660F" w:rsidRPr="003D5DE6" w:rsidRDefault="004F660F" w:rsidP="00743C1B">
            <w:pPr>
              <w:spacing w:after="0" w:line="240" w:lineRule="auto"/>
              <w:rPr>
                <w:rFonts w:ascii="Verdana" w:eastAsia="Times New Roman" w:hAnsi="Verdana" w:cs="Times New Roman"/>
                <w:color w:val="000000"/>
                <w:sz w:val="17"/>
                <w:szCs w:val="17"/>
                <w:lang w:eastAsia="en-CA"/>
              </w:rPr>
            </w:pPr>
            <w:bookmarkStart w:id="1" w:name="c0003n00115"/>
            <w:bookmarkStart w:id="2" w:name="c0003n00116"/>
            <w:bookmarkEnd w:id="1"/>
            <w:bookmarkEnd w:id="2"/>
            <w:r w:rsidRPr="003D5DE6">
              <w:rPr>
                <w:rFonts w:ascii="Verdana" w:eastAsia="Times New Roman" w:hAnsi="Verdana" w:cs="Times New Roman"/>
                <w:i/>
                <w:iCs/>
                <w:color w:val="000000"/>
                <w:sz w:val="17"/>
                <w:szCs w:val="17"/>
                <w:lang w:eastAsia="en-CA"/>
              </w:rPr>
              <w:t>atomoxetine</w:t>
            </w:r>
            <w:r w:rsidRPr="003D5DE6">
              <w:rPr>
                <w:rFonts w:ascii="Verdana" w:eastAsia="Times New Roman" w:hAnsi="Verdana" w:cs="Times New Roman"/>
                <w:color w:val="000000"/>
                <w:sz w:val="17"/>
                <w:szCs w:val="17"/>
                <w:lang w:eastAsia="en-CA"/>
              </w:rPr>
              <w:t> </w:t>
            </w:r>
            <w:r w:rsidRPr="003D5DE6">
              <w:rPr>
                <w:rFonts w:ascii="Verdana" w:eastAsia="Times New Roman" w:hAnsi="Verdana" w:cs="Times New Roman"/>
                <w:color w:val="000000"/>
                <w:sz w:val="17"/>
                <w:szCs w:val="17"/>
                <w:lang w:eastAsia="en-CA"/>
              </w:rPr>
              <w:br/>
            </w:r>
            <w:hyperlink r:id="rId15" w:history="1">
              <w:r w:rsidRPr="003D5DE6">
                <w:rPr>
                  <w:rFonts w:ascii="Verdana" w:eastAsia="Times New Roman" w:hAnsi="Verdana" w:cs="Times New Roman"/>
                  <w:color w:val="3A70DC"/>
                  <w:sz w:val="17"/>
                  <w:szCs w:val="17"/>
                  <w:u w:val="single"/>
                  <w:lang w:eastAsia="en-CA"/>
                </w:rPr>
                <w:t>Strattera</w:t>
              </w:r>
            </w:hyperlink>
            <w:r w:rsidRPr="003D5DE6">
              <w:rPr>
                <w:rFonts w:ascii="Verdana" w:eastAsia="Times New Roman" w:hAnsi="Verdana" w:cs="Times New Roman"/>
                <w:color w:val="000000"/>
                <w:sz w:val="17"/>
                <w:szCs w:val="17"/>
                <w:lang w:eastAsia="en-CA"/>
              </w:rPr>
              <w:t>, generics  </w:t>
            </w:r>
          </w:p>
        </w:tc>
        <w:tc>
          <w:tcPr>
            <w:tcW w:w="973" w:type="pct"/>
            <w:tcBorders>
              <w:top w:val="single" w:sz="2" w:space="0" w:color="000000"/>
              <w:left w:val="single" w:sz="2" w:space="0" w:color="000000"/>
              <w:bottom w:val="single" w:sz="6" w:space="0" w:color="000000"/>
              <w:right w:val="single" w:sz="6" w:space="0" w:color="000000"/>
            </w:tcBorders>
            <w:tcMar>
              <w:top w:w="60" w:type="dxa"/>
              <w:left w:w="60" w:type="dxa"/>
              <w:bottom w:w="60" w:type="dxa"/>
              <w:right w:w="60" w:type="dxa"/>
            </w:tcMar>
            <w:hideMark/>
          </w:tcPr>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t>Children ≤70 kg: 0.5 mg/kg/daypo × 10 days, then0.8 mg/kg/day po × 10 days, then 1– 1.2 mg/kg/day po</w:t>
            </w: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t>&gt;70 kg: 40 mg/day po × 10 days, then 60 mg/day po × 10 days, then increase to target of 80 mg/day po if necessary</w:t>
            </w: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t>One dose in a.m. or 2 divided doses ( a.m. and late afternoon)</w:t>
            </w: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t>Maximum 100 mg/day po</w:t>
            </w:r>
          </w:p>
        </w:tc>
        <w:tc>
          <w:tcPr>
            <w:tcW w:w="1089" w:type="pct"/>
            <w:tcBorders>
              <w:top w:val="single" w:sz="2" w:space="0" w:color="000000"/>
              <w:left w:val="single" w:sz="2" w:space="0" w:color="000000"/>
              <w:bottom w:val="single" w:sz="6" w:space="0" w:color="000000"/>
              <w:right w:val="single" w:sz="6" w:space="0" w:color="000000"/>
            </w:tcBorders>
            <w:tcMar>
              <w:top w:w="60" w:type="dxa"/>
              <w:left w:w="60" w:type="dxa"/>
              <w:bottom w:w="60" w:type="dxa"/>
              <w:right w:w="60" w:type="dxa"/>
            </w:tcMar>
            <w:hideMark/>
          </w:tcPr>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t>Headaches, rhinorrhea, upper abdominal pain, nausea, sedation, vomiting, decreased appetite, dizziness, fatigue, emotional lability and small increases in heart rate and blood pressure.</w:t>
            </w: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t>Significant: suicidal ideation, sudden cardiac death, liver toxicity, exacerbation of tics.</w:t>
            </w: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br/>
              <w:t> </w:t>
            </w:r>
          </w:p>
        </w:tc>
        <w:tc>
          <w:tcPr>
            <w:tcW w:w="959" w:type="pct"/>
            <w:tcBorders>
              <w:top w:val="single" w:sz="2" w:space="0" w:color="000000"/>
              <w:left w:val="single" w:sz="2" w:space="0" w:color="000000"/>
              <w:bottom w:val="single" w:sz="6" w:space="0" w:color="000000"/>
              <w:right w:val="single" w:sz="6" w:space="0" w:color="000000"/>
            </w:tcBorders>
            <w:tcMar>
              <w:top w:w="60" w:type="dxa"/>
              <w:left w:w="60" w:type="dxa"/>
              <w:bottom w:w="60" w:type="dxa"/>
              <w:right w:w="60" w:type="dxa"/>
            </w:tcMar>
            <w:hideMark/>
          </w:tcPr>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t>Inhibitors of CYP2D6 such as fluoxetine, paroxetine or quinidine can increase plasma levels.</w:t>
            </w: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t>“Slow metabolizers” such as some Asian populations may have extended elimination half-lives.</w:t>
            </w: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t>Concurrent use of salbutamol may increase heart rate.</w:t>
            </w:r>
          </w:p>
        </w:tc>
        <w:tc>
          <w:tcPr>
            <w:tcW w:w="738" w:type="pct"/>
            <w:tcBorders>
              <w:top w:val="single" w:sz="2" w:space="0" w:color="000000"/>
              <w:left w:val="single" w:sz="2" w:space="0" w:color="000000"/>
              <w:bottom w:val="single" w:sz="6" w:space="0" w:color="000000"/>
              <w:right w:val="single" w:sz="6" w:space="0" w:color="000000"/>
            </w:tcBorders>
            <w:tcMar>
              <w:top w:w="60" w:type="dxa"/>
              <w:left w:w="60" w:type="dxa"/>
              <w:bottom w:w="60" w:type="dxa"/>
              <w:right w:w="60" w:type="dxa"/>
            </w:tcMar>
            <w:hideMark/>
          </w:tcPr>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t>Dosing based on patient's weight.</w:t>
            </w: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t>Requires 3–4 wk to see beneficial effects.</w:t>
            </w: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br/>
              <w:t> </w:t>
            </w:r>
          </w:p>
        </w:tc>
        <w:tc>
          <w:tcPr>
            <w:tcW w:w="271" w:type="pct"/>
            <w:tcBorders>
              <w:top w:val="single" w:sz="2" w:space="0" w:color="000000"/>
              <w:left w:val="single" w:sz="2" w:space="0" w:color="000000"/>
              <w:bottom w:val="single" w:sz="6" w:space="0" w:color="000000"/>
              <w:right w:val="single" w:sz="6" w:space="0" w:color="000000"/>
            </w:tcBorders>
            <w:tcMar>
              <w:top w:w="60" w:type="dxa"/>
              <w:left w:w="60" w:type="dxa"/>
              <w:bottom w:w="60" w:type="dxa"/>
              <w:right w:w="60" w:type="dxa"/>
            </w:tcMar>
            <w:hideMark/>
          </w:tcPr>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t>$$$$  </w:t>
            </w:r>
          </w:p>
        </w:tc>
      </w:tr>
      <w:tr w:rsidR="004F660F" w:rsidRPr="003D5DE6" w:rsidTr="00743C1B">
        <w:trPr>
          <w:tblCellSpacing w:w="0" w:type="dxa"/>
        </w:trPr>
        <w:tc>
          <w:tcPr>
            <w:tcW w:w="970" w:type="pct"/>
            <w:tcBorders>
              <w:top w:val="single" w:sz="2" w:space="0" w:color="000000"/>
              <w:left w:val="single" w:sz="2" w:space="0" w:color="000000"/>
              <w:bottom w:val="single" w:sz="6" w:space="0" w:color="000000"/>
              <w:right w:val="single" w:sz="6" w:space="0" w:color="000000"/>
            </w:tcBorders>
            <w:tcMar>
              <w:top w:w="60" w:type="dxa"/>
              <w:left w:w="60" w:type="dxa"/>
              <w:bottom w:w="60" w:type="dxa"/>
              <w:right w:w="60" w:type="dxa"/>
            </w:tcMar>
            <w:hideMark/>
          </w:tcPr>
          <w:p w:rsidR="004F660F" w:rsidRPr="003D5DE6" w:rsidRDefault="004F660F" w:rsidP="00743C1B">
            <w:pPr>
              <w:spacing w:after="0" w:line="240" w:lineRule="auto"/>
              <w:rPr>
                <w:rFonts w:ascii="Verdana" w:eastAsia="Times New Roman" w:hAnsi="Verdana" w:cs="Times New Roman"/>
                <w:color w:val="000000"/>
                <w:sz w:val="17"/>
                <w:szCs w:val="17"/>
                <w:lang w:eastAsia="en-CA"/>
              </w:rPr>
            </w:pPr>
            <w:bookmarkStart w:id="3" w:name="c0003n00035"/>
            <w:bookmarkStart w:id="4" w:name="c0003n00042"/>
            <w:bookmarkEnd w:id="3"/>
            <w:bookmarkEnd w:id="4"/>
            <w:r w:rsidRPr="003D5DE6">
              <w:rPr>
                <w:rFonts w:ascii="Verdana" w:eastAsia="Times New Roman" w:hAnsi="Verdana" w:cs="Times New Roman"/>
                <w:i/>
                <w:iCs/>
                <w:color w:val="000000"/>
                <w:sz w:val="17"/>
                <w:szCs w:val="17"/>
                <w:lang w:eastAsia="en-CA"/>
              </w:rPr>
              <w:t>methylphenidate immediate-release tablets</w:t>
            </w:r>
            <w:r w:rsidRPr="003D5DE6">
              <w:rPr>
                <w:rFonts w:ascii="Verdana" w:eastAsia="Times New Roman" w:hAnsi="Verdana" w:cs="Times New Roman"/>
                <w:color w:val="000000"/>
                <w:sz w:val="17"/>
                <w:szCs w:val="17"/>
                <w:lang w:eastAsia="en-CA"/>
              </w:rPr>
              <w:t> </w:t>
            </w:r>
            <w:r w:rsidRPr="003D5DE6">
              <w:rPr>
                <w:rFonts w:ascii="Verdana" w:eastAsia="Times New Roman" w:hAnsi="Verdana" w:cs="Times New Roman"/>
                <w:color w:val="000000"/>
                <w:sz w:val="17"/>
                <w:szCs w:val="17"/>
                <w:lang w:eastAsia="en-CA"/>
              </w:rPr>
              <w:br/>
            </w:r>
            <w:hyperlink r:id="rId16" w:history="1">
              <w:r w:rsidRPr="003D5DE6">
                <w:rPr>
                  <w:rFonts w:ascii="Verdana" w:eastAsia="Times New Roman" w:hAnsi="Verdana" w:cs="Times New Roman"/>
                  <w:color w:val="3A70DC"/>
                  <w:sz w:val="17"/>
                  <w:szCs w:val="17"/>
                  <w:u w:val="single"/>
                  <w:lang w:eastAsia="en-CA"/>
                </w:rPr>
                <w:t>Ritalin</w:t>
              </w:r>
            </w:hyperlink>
            <w:r w:rsidRPr="003D5DE6">
              <w:rPr>
                <w:rFonts w:ascii="Verdana" w:eastAsia="Times New Roman" w:hAnsi="Verdana" w:cs="Times New Roman"/>
                <w:color w:val="000000"/>
                <w:sz w:val="17"/>
                <w:szCs w:val="17"/>
                <w:lang w:eastAsia="en-CA"/>
              </w:rPr>
              <w:t>, generics  </w:t>
            </w:r>
          </w:p>
        </w:tc>
        <w:tc>
          <w:tcPr>
            <w:tcW w:w="973" w:type="pct"/>
            <w:tcBorders>
              <w:top w:val="single" w:sz="2" w:space="0" w:color="000000"/>
              <w:left w:val="single" w:sz="2" w:space="0" w:color="000000"/>
              <w:bottom w:val="single" w:sz="6" w:space="0" w:color="000000"/>
              <w:right w:val="single" w:sz="6" w:space="0" w:color="000000"/>
            </w:tcBorders>
            <w:tcMar>
              <w:top w:w="60" w:type="dxa"/>
              <w:left w:w="60" w:type="dxa"/>
              <w:bottom w:w="60" w:type="dxa"/>
              <w:right w:w="60" w:type="dxa"/>
            </w:tcMar>
            <w:hideMark/>
          </w:tcPr>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t>Initial: </w:t>
            </w:r>
            <w:r w:rsidRPr="003D5DE6">
              <w:rPr>
                <w:rFonts w:ascii="Verdana" w:eastAsia="Times New Roman" w:hAnsi="Verdana" w:cs="Times New Roman"/>
                <w:color w:val="000000"/>
                <w:sz w:val="17"/>
                <w:szCs w:val="17"/>
                <w:lang w:eastAsia="en-CA"/>
              </w:rPr>
              <w:br/>
              <w:t>0.3 mg/kg/day po</w:t>
            </w: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t>Usual: 0.15–1 mg/kg/day po </w:t>
            </w:r>
            <w:r w:rsidRPr="003D5DE6">
              <w:rPr>
                <w:rFonts w:ascii="Verdana" w:eastAsia="Times New Roman" w:hAnsi="Verdana" w:cs="Times New Roman"/>
                <w:b/>
                <w:bCs/>
                <w:color w:val="000000"/>
                <w:sz w:val="17"/>
                <w:szCs w:val="17"/>
                <w:lang w:eastAsia="en-CA"/>
              </w:rPr>
              <w:t>or</w:t>
            </w:r>
            <w:r w:rsidRPr="003D5DE6">
              <w:rPr>
                <w:rFonts w:ascii="Verdana" w:eastAsia="Times New Roman" w:hAnsi="Verdana" w:cs="Times New Roman"/>
                <w:color w:val="000000"/>
                <w:sz w:val="17"/>
                <w:szCs w:val="17"/>
                <w:lang w:eastAsia="en-CA"/>
              </w:rPr>
              <w:t>10–60 mg/day po in 1–3 divided doses</w:t>
            </w: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br/>
            </w:r>
            <w:r w:rsidRPr="003D5DE6">
              <w:rPr>
                <w:rFonts w:ascii="Verdana" w:eastAsia="Times New Roman" w:hAnsi="Verdana" w:cs="Times New Roman"/>
                <w:color w:val="000000"/>
                <w:sz w:val="17"/>
                <w:szCs w:val="17"/>
                <w:lang w:eastAsia="en-CA"/>
              </w:rPr>
              <w:br/>
              <w:t> </w:t>
            </w:r>
          </w:p>
        </w:tc>
        <w:tc>
          <w:tcPr>
            <w:tcW w:w="1089" w:type="pct"/>
            <w:vMerge w:val="restart"/>
            <w:tcBorders>
              <w:top w:val="single" w:sz="2" w:space="0" w:color="000000"/>
              <w:left w:val="single" w:sz="2" w:space="0" w:color="000000"/>
              <w:right w:val="single" w:sz="6" w:space="0" w:color="000000"/>
            </w:tcBorders>
            <w:tcMar>
              <w:top w:w="60" w:type="dxa"/>
              <w:left w:w="60" w:type="dxa"/>
              <w:bottom w:w="60" w:type="dxa"/>
              <w:right w:w="60" w:type="dxa"/>
            </w:tcMar>
            <w:hideMark/>
          </w:tcPr>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b/>
                <w:bCs/>
                <w:color w:val="000000"/>
                <w:sz w:val="17"/>
                <w:szCs w:val="17"/>
                <w:lang w:eastAsia="en-CA"/>
              </w:rPr>
              <w:t>Common, usually transient—continue therapeutic trial:</w:t>
            </w:r>
            <w:r w:rsidRPr="003D5DE6">
              <w:rPr>
                <w:rFonts w:ascii="Verdana" w:eastAsia="Times New Roman" w:hAnsi="Verdana" w:cs="Times New Roman"/>
                <w:color w:val="000000"/>
                <w:sz w:val="17"/>
                <w:szCs w:val="17"/>
                <w:lang w:eastAsia="en-CA"/>
              </w:rPr>
              <w:t>anorexia, insomnia, weight loss, irritability, dizziness, weepiness, headache, abdominal pain.</w:t>
            </w: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b/>
                <w:bCs/>
                <w:color w:val="000000"/>
                <w:sz w:val="17"/>
                <w:szCs w:val="17"/>
                <w:lang w:eastAsia="en-CA"/>
              </w:rPr>
              <w:t>Transient—stop and re-evaluate:</w:t>
            </w:r>
            <w:r w:rsidRPr="003D5DE6">
              <w:rPr>
                <w:rFonts w:ascii="Verdana" w:eastAsia="Times New Roman" w:hAnsi="Verdana" w:cs="Times New Roman"/>
                <w:color w:val="000000"/>
                <w:sz w:val="17"/>
                <w:szCs w:val="17"/>
                <w:lang w:eastAsia="en-CA"/>
              </w:rPr>
              <w:t> “zombie-like” effects, psychotic reactions (such as hallucinations), agitation, tachycardia, hypertension, growth failure, rebound hyperactivity, leukopenia, blood dyscrasias.</w:t>
            </w: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t>Monitor patient for suicidal thoughts/ideation; consider a change in treatment if concerns arise.</w:t>
            </w: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b/>
                <w:bCs/>
                <w:color w:val="000000"/>
                <w:sz w:val="17"/>
                <w:szCs w:val="17"/>
                <w:lang w:eastAsia="en-CA"/>
              </w:rPr>
              <w:t>Overdose symptoms—stop and retitrate:</w:t>
            </w:r>
            <w:r w:rsidRPr="003D5DE6">
              <w:rPr>
                <w:rFonts w:ascii="Verdana" w:eastAsia="Times New Roman" w:hAnsi="Verdana" w:cs="Times New Roman"/>
                <w:color w:val="000000"/>
                <w:sz w:val="17"/>
                <w:szCs w:val="17"/>
                <w:lang w:eastAsia="en-CA"/>
              </w:rPr>
              <w:t> “glassy eyes,” insomnia, hyperactivity.</w:t>
            </w: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b/>
                <w:bCs/>
                <w:color w:val="000000"/>
                <w:sz w:val="17"/>
                <w:szCs w:val="17"/>
                <w:lang w:eastAsia="en-CA"/>
              </w:rPr>
              <w:t>Significant:</w:t>
            </w:r>
            <w:r w:rsidRPr="003D5DE6">
              <w:rPr>
                <w:rFonts w:ascii="Verdana" w:eastAsia="Times New Roman" w:hAnsi="Verdana" w:cs="Times New Roman"/>
                <w:color w:val="000000"/>
                <w:sz w:val="17"/>
                <w:szCs w:val="17"/>
                <w:lang w:eastAsia="en-CA"/>
              </w:rPr>
              <w:t> sudden cardiac death reported; neurologic symptoms; exacerbation of tics; avoid in patients with a history of cardiovascular conduction disturbances, hypertension, acute psychotic episodes and hyperthyroidism.</w:t>
            </w: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t>If seizures occur, or if frequency increases in patient with controlled epilepsy, stop and re-evaluate.</w:t>
            </w:r>
          </w:p>
        </w:tc>
        <w:tc>
          <w:tcPr>
            <w:tcW w:w="959" w:type="pct"/>
            <w:vMerge w:val="restart"/>
            <w:tcBorders>
              <w:top w:val="single" w:sz="2" w:space="0" w:color="000000"/>
              <w:left w:val="single" w:sz="2" w:space="0" w:color="000000"/>
              <w:right w:val="single" w:sz="6" w:space="0" w:color="000000"/>
            </w:tcBorders>
            <w:tcMar>
              <w:top w:w="60" w:type="dxa"/>
              <w:left w:w="60" w:type="dxa"/>
              <w:bottom w:w="60" w:type="dxa"/>
              <w:right w:w="60" w:type="dxa"/>
            </w:tcMar>
            <w:hideMark/>
          </w:tcPr>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i/>
                <w:iCs/>
                <w:color w:val="000000"/>
                <w:sz w:val="17"/>
                <w:szCs w:val="17"/>
                <w:lang w:eastAsia="en-CA"/>
              </w:rPr>
              <w:t>Stimulants:</w:t>
            </w:r>
            <w:r w:rsidRPr="003D5DE6">
              <w:rPr>
                <w:rFonts w:ascii="Verdana" w:eastAsia="Times New Roman" w:hAnsi="Verdana" w:cs="Times New Roman"/>
                <w:color w:val="000000"/>
                <w:sz w:val="17"/>
                <w:szCs w:val="17"/>
                <w:lang w:eastAsia="en-CA"/>
              </w:rPr>
              <w:t> avoid concurrent use with irreversible MAOIs such as phenelzine or tranylcypromine. Other drugs that inhibit MAO, such as moclobemide, can also increase hypertensive effect of stimulant.</w:t>
            </w: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t>Concurrent use of theophylline may increase risk of tachycardia, palpitations, dizziness, weakness.</w:t>
            </w: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i/>
                <w:iCs/>
                <w:color w:val="000000"/>
                <w:sz w:val="17"/>
                <w:szCs w:val="17"/>
                <w:lang w:eastAsia="en-CA"/>
              </w:rPr>
              <w:t>Methylphenidate:</w:t>
            </w:r>
            <w:r w:rsidRPr="003D5DE6">
              <w:rPr>
                <w:rFonts w:ascii="Verdana" w:eastAsia="Times New Roman" w:hAnsi="Verdana" w:cs="Times New Roman"/>
                <w:color w:val="000000"/>
                <w:sz w:val="17"/>
                <w:szCs w:val="17"/>
                <w:lang w:eastAsia="en-CA"/>
              </w:rPr>
              <w:t> may increase plasma levels of phenytoin, phenobarbital, TCAs.</w:t>
            </w: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i/>
                <w:iCs/>
                <w:color w:val="000000"/>
                <w:sz w:val="17"/>
                <w:szCs w:val="17"/>
                <w:lang w:eastAsia="en-CA"/>
              </w:rPr>
              <w:t>Methylphenidate:</w:t>
            </w:r>
            <w:r w:rsidRPr="003D5DE6">
              <w:rPr>
                <w:rFonts w:ascii="Verdana" w:eastAsia="Times New Roman" w:hAnsi="Verdana" w:cs="Times New Roman"/>
                <w:color w:val="000000"/>
                <w:sz w:val="17"/>
                <w:szCs w:val="17"/>
                <w:lang w:eastAsia="en-CA"/>
              </w:rPr>
              <w:t> reduces metabolism of warfarin, resulting in increased INR.</w:t>
            </w: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i/>
                <w:iCs/>
                <w:color w:val="000000"/>
                <w:sz w:val="17"/>
                <w:szCs w:val="17"/>
                <w:lang w:eastAsia="en-CA"/>
              </w:rPr>
              <w:t>Carbamazepine:</w:t>
            </w:r>
            <w:r w:rsidRPr="003D5DE6">
              <w:rPr>
                <w:rFonts w:ascii="Verdana" w:eastAsia="Times New Roman" w:hAnsi="Verdana" w:cs="Times New Roman"/>
                <w:color w:val="000000"/>
                <w:sz w:val="17"/>
                <w:szCs w:val="17"/>
                <w:lang w:eastAsia="en-CA"/>
              </w:rPr>
              <w:t> decreases plasma levels of methylphenidate.</w:t>
            </w: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br/>
              <w:t> </w:t>
            </w:r>
          </w:p>
        </w:tc>
        <w:tc>
          <w:tcPr>
            <w:tcW w:w="738" w:type="pct"/>
            <w:vMerge w:val="restart"/>
            <w:tcBorders>
              <w:top w:val="single" w:sz="2" w:space="0" w:color="000000"/>
              <w:left w:val="single" w:sz="2" w:space="0" w:color="000000"/>
              <w:right w:val="single" w:sz="6" w:space="0" w:color="000000"/>
            </w:tcBorders>
            <w:tcMar>
              <w:top w:w="60" w:type="dxa"/>
              <w:left w:w="60" w:type="dxa"/>
              <w:bottom w:w="60" w:type="dxa"/>
              <w:right w:w="60" w:type="dxa"/>
            </w:tcMar>
            <w:hideMark/>
          </w:tcPr>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t>Last daily dose should be given before4 p.m. to avoid insomnia.</w:t>
            </w: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t>Doses greater than 60 mg/day usually do not result in additional efficacy in children.</w:t>
            </w: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t>Pharmacokinetics reflect wide individual variations; strict weight-based dosing may not be predictive of clinical effect; titrate dose against response.</w:t>
            </w: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t>Potential for abuse; use cautiously, especially in adolescents.</w:t>
            </w: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br/>
              <w:t> </w:t>
            </w:r>
          </w:p>
        </w:tc>
        <w:tc>
          <w:tcPr>
            <w:tcW w:w="271" w:type="pct"/>
            <w:tcBorders>
              <w:top w:val="single" w:sz="2" w:space="0" w:color="000000"/>
              <w:left w:val="single" w:sz="2" w:space="0" w:color="000000"/>
              <w:bottom w:val="single" w:sz="6" w:space="0" w:color="000000"/>
              <w:right w:val="single" w:sz="6" w:space="0" w:color="000000"/>
            </w:tcBorders>
            <w:tcMar>
              <w:top w:w="60" w:type="dxa"/>
              <w:left w:w="60" w:type="dxa"/>
              <w:bottom w:w="60" w:type="dxa"/>
              <w:right w:w="60" w:type="dxa"/>
            </w:tcMar>
            <w:hideMark/>
          </w:tcPr>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t>$  </w:t>
            </w:r>
          </w:p>
        </w:tc>
      </w:tr>
      <w:tr w:rsidR="004F660F" w:rsidRPr="003D5DE6" w:rsidTr="00743C1B">
        <w:trPr>
          <w:tblCellSpacing w:w="0" w:type="dxa"/>
        </w:trPr>
        <w:tc>
          <w:tcPr>
            <w:tcW w:w="970" w:type="pct"/>
            <w:tcBorders>
              <w:top w:val="single" w:sz="2" w:space="0" w:color="000000"/>
              <w:left w:val="single" w:sz="2" w:space="0" w:color="000000"/>
              <w:bottom w:val="single" w:sz="6" w:space="0" w:color="000000"/>
              <w:right w:val="single" w:sz="6" w:space="0" w:color="000000"/>
            </w:tcBorders>
            <w:tcMar>
              <w:top w:w="60" w:type="dxa"/>
              <w:left w:w="60" w:type="dxa"/>
              <w:bottom w:w="60" w:type="dxa"/>
              <w:right w:w="60" w:type="dxa"/>
            </w:tcMar>
            <w:hideMark/>
          </w:tcPr>
          <w:p w:rsidR="004F660F" w:rsidRPr="003D5DE6" w:rsidRDefault="004F660F" w:rsidP="00743C1B">
            <w:pPr>
              <w:spacing w:after="0" w:line="240" w:lineRule="auto"/>
              <w:rPr>
                <w:rFonts w:ascii="Verdana" w:eastAsia="Times New Roman" w:hAnsi="Verdana" w:cs="Times New Roman"/>
                <w:color w:val="000000"/>
                <w:sz w:val="17"/>
                <w:szCs w:val="17"/>
                <w:lang w:eastAsia="en-CA"/>
              </w:rPr>
            </w:pPr>
            <w:bookmarkStart w:id="5" w:name="c0003n00084"/>
            <w:bookmarkEnd w:id="5"/>
            <w:r w:rsidRPr="003D5DE6">
              <w:rPr>
                <w:rFonts w:ascii="Verdana" w:eastAsia="Times New Roman" w:hAnsi="Verdana" w:cs="Times New Roman"/>
                <w:i/>
                <w:iCs/>
                <w:color w:val="000000"/>
                <w:sz w:val="17"/>
                <w:szCs w:val="17"/>
                <w:lang w:eastAsia="en-CA"/>
              </w:rPr>
              <w:t>methylphenidate sustained-release tablets</w:t>
            </w:r>
            <w:r w:rsidRPr="003D5DE6">
              <w:rPr>
                <w:rFonts w:ascii="Verdana" w:eastAsia="Times New Roman" w:hAnsi="Verdana" w:cs="Times New Roman"/>
                <w:color w:val="000000"/>
                <w:sz w:val="17"/>
                <w:szCs w:val="17"/>
                <w:lang w:eastAsia="en-CA"/>
              </w:rPr>
              <w:t> </w:t>
            </w:r>
            <w:r w:rsidRPr="003D5DE6">
              <w:rPr>
                <w:rFonts w:ascii="Verdana" w:eastAsia="Times New Roman" w:hAnsi="Verdana" w:cs="Times New Roman"/>
                <w:color w:val="000000"/>
                <w:sz w:val="17"/>
                <w:szCs w:val="17"/>
                <w:lang w:eastAsia="en-CA"/>
              </w:rPr>
              <w:br/>
            </w:r>
            <w:hyperlink r:id="rId17" w:history="1">
              <w:r w:rsidRPr="003D5DE6">
                <w:rPr>
                  <w:rFonts w:ascii="Verdana" w:eastAsia="Times New Roman" w:hAnsi="Verdana" w:cs="Times New Roman"/>
                  <w:color w:val="3A70DC"/>
                  <w:sz w:val="17"/>
                  <w:szCs w:val="17"/>
                  <w:u w:val="single"/>
                  <w:lang w:eastAsia="en-CA"/>
                </w:rPr>
                <w:t>Ritalin SR</w:t>
              </w:r>
            </w:hyperlink>
            <w:r w:rsidRPr="003D5DE6">
              <w:rPr>
                <w:rFonts w:ascii="Verdana" w:eastAsia="Times New Roman" w:hAnsi="Verdana" w:cs="Times New Roman"/>
                <w:color w:val="000000"/>
                <w:sz w:val="17"/>
                <w:szCs w:val="17"/>
                <w:lang w:eastAsia="en-CA"/>
              </w:rPr>
              <w:t>, generics </w:t>
            </w: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t>May be used in combination with immediate-release formulation. </w:t>
            </w:r>
          </w:p>
        </w:tc>
        <w:tc>
          <w:tcPr>
            <w:tcW w:w="973" w:type="pct"/>
            <w:tcBorders>
              <w:top w:val="single" w:sz="2" w:space="0" w:color="000000"/>
              <w:left w:val="single" w:sz="2" w:space="0" w:color="000000"/>
              <w:bottom w:val="single" w:sz="6" w:space="0" w:color="000000"/>
              <w:right w:val="single" w:sz="6" w:space="0" w:color="000000"/>
            </w:tcBorders>
            <w:tcMar>
              <w:top w:w="60" w:type="dxa"/>
              <w:left w:w="60" w:type="dxa"/>
              <w:bottom w:w="60" w:type="dxa"/>
              <w:right w:w="60" w:type="dxa"/>
            </w:tcMar>
            <w:hideMark/>
          </w:tcPr>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t>20–60 mg/day po in 1 or 2 divided doses </w:t>
            </w:r>
            <w:r w:rsidRPr="003D5DE6">
              <w:rPr>
                <w:rFonts w:ascii="Verdana" w:eastAsia="Times New Roman" w:hAnsi="Verdana" w:cs="Times New Roman"/>
                <w:color w:val="000000"/>
                <w:sz w:val="17"/>
                <w:szCs w:val="17"/>
                <w:lang w:eastAsia="en-CA"/>
              </w:rPr>
              <w:br/>
              <w:t> </w:t>
            </w:r>
          </w:p>
        </w:tc>
        <w:tc>
          <w:tcPr>
            <w:tcW w:w="1089" w:type="pct"/>
            <w:vMerge/>
            <w:tcBorders>
              <w:left w:val="single" w:sz="2" w:space="0" w:color="000000"/>
              <w:right w:val="single" w:sz="6" w:space="0" w:color="000000"/>
            </w:tcBorders>
            <w:tcMar>
              <w:top w:w="60" w:type="dxa"/>
              <w:left w:w="60" w:type="dxa"/>
              <w:bottom w:w="60" w:type="dxa"/>
              <w:right w:w="60" w:type="dxa"/>
            </w:tcMar>
            <w:hideMark/>
          </w:tcPr>
          <w:p w:rsidR="004F660F" w:rsidRPr="003D5DE6" w:rsidRDefault="004F660F" w:rsidP="00743C1B">
            <w:pPr>
              <w:spacing w:after="0" w:line="240" w:lineRule="auto"/>
              <w:rPr>
                <w:rFonts w:ascii="Verdana" w:eastAsia="Times New Roman" w:hAnsi="Verdana" w:cs="Times New Roman"/>
                <w:color w:val="000000"/>
                <w:sz w:val="17"/>
                <w:szCs w:val="17"/>
                <w:lang w:eastAsia="en-CA"/>
              </w:rPr>
            </w:pPr>
          </w:p>
        </w:tc>
        <w:tc>
          <w:tcPr>
            <w:tcW w:w="959" w:type="pct"/>
            <w:vMerge/>
            <w:tcBorders>
              <w:left w:val="single" w:sz="2" w:space="0" w:color="000000"/>
              <w:right w:val="single" w:sz="6" w:space="0" w:color="000000"/>
            </w:tcBorders>
            <w:tcMar>
              <w:top w:w="60" w:type="dxa"/>
              <w:left w:w="60" w:type="dxa"/>
              <w:bottom w:w="60" w:type="dxa"/>
              <w:right w:w="60" w:type="dxa"/>
            </w:tcMar>
          </w:tcPr>
          <w:p w:rsidR="004F660F" w:rsidRPr="003D5DE6" w:rsidRDefault="004F660F" w:rsidP="00743C1B">
            <w:pPr>
              <w:spacing w:after="0" w:line="240" w:lineRule="auto"/>
              <w:rPr>
                <w:rFonts w:ascii="Verdana" w:eastAsia="Times New Roman" w:hAnsi="Verdana" w:cs="Times New Roman"/>
                <w:color w:val="000000"/>
                <w:sz w:val="17"/>
                <w:szCs w:val="17"/>
                <w:lang w:eastAsia="en-CA"/>
              </w:rPr>
            </w:pPr>
          </w:p>
        </w:tc>
        <w:tc>
          <w:tcPr>
            <w:tcW w:w="738" w:type="pct"/>
            <w:vMerge/>
            <w:tcBorders>
              <w:left w:val="single" w:sz="2" w:space="0" w:color="000000"/>
              <w:right w:val="single" w:sz="6" w:space="0" w:color="000000"/>
            </w:tcBorders>
            <w:tcMar>
              <w:top w:w="60" w:type="dxa"/>
              <w:left w:w="60" w:type="dxa"/>
              <w:bottom w:w="60" w:type="dxa"/>
              <w:right w:w="60" w:type="dxa"/>
            </w:tcMar>
          </w:tcPr>
          <w:p w:rsidR="004F660F" w:rsidRPr="003D5DE6" w:rsidRDefault="004F660F" w:rsidP="00743C1B">
            <w:pPr>
              <w:spacing w:after="0" w:line="240" w:lineRule="auto"/>
              <w:rPr>
                <w:rFonts w:ascii="Verdana" w:eastAsia="Times New Roman" w:hAnsi="Verdana" w:cs="Times New Roman"/>
                <w:color w:val="000000"/>
                <w:sz w:val="17"/>
                <w:szCs w:val="17"/>
                <w:lang w:eastAsia="en-CA"/>
              </w:rPr>
            </w:pPr>
          </w:p>
        </w:tc>
        <w:tc>
          <w:tcPr>
            <w:tcW w:w="271" w:type="pct"/>
            <w:tcBorders>
              <w:top w:val="single" w:sz="2" w:space="0" w:color="000000"/>
              <w:left w:val="single" w:sz="2" w:space="0" w:color="000000"/>
              <w:bottom w:val="single" w:sz="6" w:space="0" w:color="000000"/>
              <w:right w:val="single" w:sz="6" w:space="0" w:color="000000"/>
            </w:tcBorders>
            <w:tcMar>
              <w:top w:w="60" w:type="dxa"/>
              <w:left w:w="60" w:type="dxa"/>
              <w:bottom w:w="60" w:type="dxa"/>
              <w:right w:w="60" w:type="dxa"/>
            </w:tcMar>
            <w:hideMark/>
          </w:tcPr>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t>$  </w:t>
            </w:r>
          </w:p>
        </w:tc>
      </w:tr>
      <w:tr w:rsidR="004F660F" w:rsidRPr="003D5DE6" w:rsidTr="00743C1B">
        <w:trPr>
          <w:tblCellSpacing w:w="0" w:type="dxa"/>
        </w:trPr>
        <w:tc>
          <w:tcPr>
            <w:tcW w:w="970" w:type="pct"/>
            <w:tcBorders>
              <w:top w:val="single" w:sz="2" w:space="0" w:color="000000"/>
              <w:left w:val="single" w:sz="2" w:space="0" w:color="000000"/>
              <w:bottom w:val="single" w:sz="6" w:space="0" w:color="000000"/>
              <w:right w:val="single" w:sz="6" w:space="0" w:color="000000"/>
            </w:tcBorders>
            <w:tcMar>
              <w:top w:w="60" w:type="dxa"/>
              <w:left w:w="60" w:type="dxa"/>
              <w:bottom w:w="60" w:type="dxa"/>
              <w:right w:w="60" w:type="dxa"/>
            </w:tcMar>
            <w:hideMark/>
          </w:tcPr>
          <w:p w:rsidR="004F660F" w:rsidRPr="003D5DE6" w:rsidRDefault="004F660F" w:rsidP="00743C1B">
            <w:pPr>
              <w:spacing w:after="0" w:line="240" w:lineRule="auto"/>
              <w:rPr>
                <w:rFonts w:ascii="Verdana" w:eastAsia="Times New Roman" w:hAnsi="Verdana" w:cs="Times New Roman"/>
                <w:color w:val="000000"/>
                <w:sz w:val="17"/>
                <w:szCs w:val="17"/>
                <w:lang w:eastAsia="en-CA"/>
              </w:rPr>
            </w:pPr>
            <w:bookmarkStart w:id="6" w:name="c0003n00091"/>
            <w:bookmarkEnd w:id="6"/>
            <w:r w:rsidRPr="003D5DE6">
              <w:rPr>
                <w:rFonts w:ascii="Verdana" w:eastAsia="Times New Roman" w:hAnsi="Verdana" w:cs="Times New Roman"/>
                <w:i/>
                <w:iCs/>
                <w:color w:val="000000"/>
                <w:sz w:val="17"/>
                <w:szCs w:val="17"/>
                <w:lang w:eastAsia="en-CA"/>
              </w:rPr>
              <w:t>methylphenidate controlled-release capsules</w:t>
            </w:r>
            <w:r w:rsidRPr="003D5DE6">
              <w:rPr>
                <w:rFonts w:ascii="Verdana" w:eastAsia="Times New Roman" w:hAnsi="Verdana" w:cs="Times New Roman"/>
                <w:color w:val="000000"/>
                <w:sz w:val="17"/>
                <w:szCs w:val="17"/>
                <w:lang w:eastAsia="en-CA"/>
              </w:rPr>
              <w:br/>
            </w:r>
            <w:hyperlink r:id="rId18" w:history="1">
              <w:r w:rsidRPr="003D5DE6">
                <w:rPr>
                  <w:rFonts w:ascii="Verdana" w:eastAsia="Times New Roman" w:hAnsi="Verdana" w:cs="Times New Roman"/>
                  <w:color w:val="3A70DC"/>
                  <w:sz w:val="17"/>
                  <w:szCs w:val="17"/>
                  <w:u w:val="single"/>
                  <w:lang w:eastAsia="en-CA"/>
                </w:rPr>
                <w:t>Biphentin</w:t>
              </w:r>
            </w:hyperlink>
            <w:r w:rsidRPr="003D5DE6">
              <w:rPr>
                <w:rFonts w:ascii="Verdana" w:eastAsia="Times New Roman" w:hAnsi="Verdana" w:cs="Times New Roman"/>
                <w:color w:val="000000"/>
                <w:sz w:val="17"/>
                <w:szCs w:val="17"/>
                <w:lang w:eastAsia="en-CA"/>
              </w:rPr>
              <w:t>  </w:t>
            </w: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t>Capsule contents can be sprinkled on soft food such as applesauce, ice cream or yogurt.</w:t>
            </w:r>
          </w:p>
        </w:tc>
        <w:tc>
          <w:tcPr>
            <w:tcW w:w="973" w:type="pct"/>
            <w:tcBorders>
              <w:top w:val="single" w:sz="2" w:space="0" w:color="000000"/>
              <w:left w:val="single" w:sz="2" w:space="0" w:color="000000"/>
              <w:bottom w:val="single" w:sz="6" w:space="0" w:color="000000"/>
              <w:right w:val="single" w:sz="6" w:space="0" w:color="000000"/>
            </w:tcBorders>
            <w:tcMar>
              <w:top w:w="60" w:type="dxa"/>
              <w:left w:w="60" w:type="dxa"/>
              <w:bottom w:w="60" w:type="dxa"/>
              <w:right w:w="60" w:type="dxa"/>
            </w:tcMar>
            <w:hideMark/>
          </w:tcPr>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t>10–60 mg QAM po</w:t>
            </w:r>
            <w:r w:rsidRPr="003D5DE6">
              <w:rPr>
                <w:rFonts w:ascii="Verdana" w:eastAsia="Times New Roman" w:hAnsi="Verdana" w:cs="Times New Roman"/>
                <w:color w:val="000000"/>
                <w:sz w:val="17"/>
                <w:szCs w:val="17"/>
                <w:lang w:eastAsia="en-CA"/>
              </w:rPr>
              <w:br/>
              <w:t> </w:t>
            </w:r>
          </w:p>
        </w:tc>
        <w:tc>
          <w:tcPr>
            <w:tcW w:w="1089" w:type="pct"/>
            <w:vMerge/>
            <w:tcBorders>
              <w:left w:val="single" w:sz="2" w:space="0" w:color="000000"/>
              <w:right w:val="single" w:sz="6" w:space="0" w:color="000000"/>
            </w:tcBorders>
            <w:tcMar>
              <w:top w:w="60" w:type="dxa"/>
              <w:left w:w="60" w:type="dxa"/>
              <w:bottom w:w="60" w:type="dxa"/>
              <w:right w:w="60" w:type="dxa"/>
            </w:tcMar>
            <w:hideMark/>
          </w:tcPr>
          <w:p w:rsidR="004F660F" w:rsidRPr="003D5DE6" w:rsidRDefault="004F660F" w:rsidP="00743C1B">
            <w:pPr>
              <w:spacing w:after="0" w:line="240" w:lineRule="auto"/>
              <w:rPr>
                <w:rFonts w:ascii="Verdana" w:eastAsia="Times New Roman" w:hAnsi="Verdana" w:cs="Times New Roman"/>
                <w:color w:val="000000"/>
                <w:sz w:val="17"/>
                <w:szCs w:val="17"/>
                <w:lang w:eastAsia="en-CA"/>
              </w:rPr>
            </w:pPr>
          </w:p>
        </w:tc>
        <w:tc>
          <w:tcPr>
            <w:tcW w:w="959" w:type="pct"/>
            <w:vMerge/>
            <w:tcBorders>
              <w:left w:val="single" w:sz="2" w:space="0" w:color="000000"/>
              <w:right w:val="single" w:sz="6" w:space="0" w:color="000000"/>
            </w:tcBorders>
            <w:tcMar>
              <w:top w:w="60" w:type="dxa"/>
              <w:left w:w="60" w:type="dxa"/>
              <w:bottom w:w="60" w:type="dxa"/>
              <w:right w:w="60" w:type="dxa"/>
            </w:tcMar>
          </w:tcPr>
          <w:p w:rsidR="004F660F" w:rsidRPr="003D5DE6" w:rsidRDefault="004F660F" w:rsidP="00743C1B">
            <w:pPr>
              <w:spacing w:after="0" w:line="240" w:lineRule="auto"/>
              <w:rPr>
                <w:rFonts w:ascii="Verdana" w:eastAsia="Times New Roman" w:hAnsi="Verdana" w:cs="Times New Roman"/>
                <w:color w:val="000000"/>
                <w:sz w:val="17"/>
                <w:szCs w:val="17"/>
                <w:lang w:eastAsia="en-CA"/>
              </w:rPr>
            </w:pPr>
          </w:p>
        </w:tc>
        <w:tc>
          <w:tcPr>
            <w:tcW w:w="738" w:type="pct"/>
            <w:vMerge/>
            <w:tcBorders>
              <w:left w:val="single" w:sz="2" w:space="0" w:color="000000"/>
              <w:right w:val="single" w:sz="6" w:space="0" w:color="000000"/>
            </w:tcBorders>
            <w:tcMar>
              <w:top w:w="60" w:type="dxa"/>
              <w:left w:w="60" w:type="dxa"/>
              <w:bottom w:w="60" w:type="dxa"/>
              <w:right w:w="60" w:type="dxa"/>
            </w:tcMar>
          </w:tcPr>
          <w:p w:rsidR="004F660F" w:rsidRPr="003D5DE6" w:rsidRDefault="004F660F" w:rsidP="00743C1B">
            <w:pPr>
              <w:spacing w:after="0" w:line="240" w:lineRule="auto"/>
              <w:rPr>
                <w:rFonts w:ascii="Verdana" w:eastAsia="Times New Roman" w:hAnsi="Verdana" w:cs="Times New Roman"/>
                <w:color w:val="000000"/>
                <w:sz w:val="17"/>
                <w:szCs w:val="17"/>
                <w:lang w:eastAsia="en-CA"/>
              </w:rPr>
            </w:pPr>
          </w:p>
        </w:tc>
        <w:tc>
          <w:tcPr>
            <w:tcW w:w="271" w:type="pct"/>
            <w:tcBorders>
              <w:top w:val="single" w:sz="2" w:space="0" w:color="000000"/>
              <w:left w:val="single" w:sz="2" w:space="0" w:color="000000"/>
              <w:bottom w:val="single" w:sz="6" w:space="0" w:color="000000"/>
              <w:right w:val="single" w:sz="6" w:space="0" w:color="000000"/>
            </w:tcBorders>
            <w:tcMar>
              <w:top w:w="60" w:type="dxa"/>
              <w:left w:w="60" w:type="dxa"/>
              <w:bottom w:w="60" w:type="dxa"/>
              <w:right w:w="60" w:type="dxa"/>
            </w:tcMar>
            <w:hideMark/>
          </w:tcPr>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t>$$$  </w:t>
            </w:r>
          </w:p>
        </w:tc>
      </w:tr>
      <w:tr w:rsidR="004F660F" w:rsidRPr="003D5DE6" w:rsidTr="00743C1B">
        <w:trPr>
          <w:tblCellSpacing w:w="0" w:type="dxa"/>
        </w:trPr>
        <w:tc>
          <w:tcPr>
            <w:tcW w:w="970" w:type="pct"/>
            <w:tcBorders>
              <w:top w:val="single" w:sz="2" w:space="0" w:color="000000"/>
              <w:left w:val="single" w:sz="2" w:space="0" w:color="000000"/>
              <w:bottom w:val="single" w:sz="6" w:space="0" w:color="000000"/>
              <w:right w:val="single" w:sz="6" w:space="0" w:color="000000"/>
            </w:tcBorders>
            <w:tcMar>
              <w:top w:w="60" w:type="dxa"/>
              <w:left w:w="60" w:type="dxa"/>
              <w:bottom w:w="60" w:type="dxa"/>
              <w:right w:w="60" w:type="dxa"/>
            </w:tcMar>
            <w:hideMark/>
          </w:tcPr>
          <w:p w:rsidR="004F660F" w:rsidRPr="003D5DE6" w:rsidRDefault="004F660F" w:rsidP="00743C1B">
            <w:pPr>
              <w:spacing w:after="0" w:line="240" w:lineRule="auto"/>
              <w:rPr>
                <w:rFonts w:ascii="Verdana" w:eastAsia="Times New Roman" w:hAnsi="Verdana" w:cs="Times New Roman"/>
                <w:color w:val="000000"/>
                <w:sz w:val="17"/>
                <w:szCs w:val="17"/>
                <w:lang w:eastAsia="en-CA"/>
              </w:rPr>
            </w:pPr>
            <w:bookmarkStart w:id="7" w:name="c0003n00096"/>
            <w:bookmarkEnd w:id="7"/>
            <w:r w:rsidRPr="003D5DE6">
              <w:rPr>
                <w:rFonts w:ascii="Verdana" w:eastAsia="Times New Roman" w:hAnsi="Verdana" w:cs="Times New Roman"/>
                <w:i/>
                <w:iCs/>
                <w:color w:val="000000"/>
                <w:sz w:val="17"/>
                <w:szCs w:val="17"/>
                <w:lang w:eastAsia="en-CA"/>
              </w:rPr>
              <w:t>methylphenidate bilayer controlled-release tablets</w:t>
            </w:r>
            <w:r w:rsidRPr="003D5DE6">
              <w:rPr>
                <w:rFonts w:ascii="Verdana" w:eastAsia="Times New Roman" w:hAnsi="Verdana" w:cs="Times New Roman"/>
                <w:color w:val="000000"/>
                <w:sz w:val="17"/>
                <w:szCs w:val="17"/>
                <w:lang w:eastAsia="en-CA"/>
              </w:rPr>
              <w:t> </w:t>
            </w:r>
            <w:r w:rsidRPr="003D5DE6">
              <w:rPr>
                <w:rFonts w:ascii="Verdana" w:eastAsia="Times New Roman" w:hAnsi="Verdana" w:cs="Times New Roman"/>
                <w:color w:val="000000"/>
                <w:sz w:val="17"/>
                <w:szCs w:val="17"/>
                <w:lang w:eastAsia="en-CA"/>
              </w:rPr>
              <w:br/>
            </w:r>
            <w:hyperlink r:id="rId19" w:history="1">
              <w:r w:rsidRPr="003D5DE6">
                <w:rPr>
                  <w:rFonts w:ascii="Verdana" w:eastAsia="Times New Roman" w:hAnsi="Verdana" w:cs="Times New Roman"/>
                  <w:color w:val="3A70DC"/>
                  <w:sz w:val="17"/>
                  <w:szCs w:val="17"/>
                  <w:u w:val="single"/>
                  <w:lang w:eastAsia="en-CA"/>
                </w:rPr>
                <w:t>Concerta</w:t>
              </w:r>
            </w:hyperlink>
            <w:r w:rsidRPr="003D5DE6">
              <w:rPr>
                <w:rFonts w:ascii="Verdana" w:eastAsia="Times New Roman" w:hAnsi="Verdana" w:cs="Times New Roman"/>
                <w:color w:val="000000"/>
                <w:sz w:val="17"/>
                <w:szCs w:val="17"/>
                <w:lang w:eastAsia="en-CA"/>
              </w:rPr>
              <w:t>, generics  </w:t>
            </w: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t>Consult product monograph for dosage conversion from other methylphenidate formulations.</w:t>
            </w: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p>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t>Generic product is bioequivalent; clinical equivalence is unknown.</w:t>
            </w:r>
          </w:p>
        </w:tc>
        <w:tc>
          <w:tcPr>
            <w:tcW w:w="973" w:type="pct"/>
            <w:tcBorders>
              <w:top w:val="single" w:sz="2" w:space="0" w:color="000000"/>
              <w:left w:val="single" w:sz="2" w:space="0" w:color="000000"/>
              <w:bottom w:val="single" w:sz="6" w:space="0" w:color="000000"/>
              <w:right w:val="single" w:sz="6" w:space="0" w:color="000000"/>
            </w:tcBorders>
            <w:tcMar>
              <w:top w:w="60" w:type="dxa"/>
              <w:left w:w="60" w:type="dxa"/>
              <w:bottom w:w="60" w:type="dxa"/>
              <w:right w:w="60" w:type="dxa"/>
            </w:tcMar>
            <w:hideMark/>
          </w:tcPr>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t>18–72 mg QAM po</w:t>
            </w:r>
            <w:r w:rsidRPr="003D5DE6">
              <w:rPr>
                <w:rFonts w:ascii="Verdana" w:eastAsia="Times New Roman" w:hAnsi="Verdana" w:cs="Times New Roman"/>
                <w:color w:val="000000"/>
                <w:sz w:val="17"/>
                <w:szCs w:val="17"/>
                <w:lang w:eastAsia="en-CA"/>
              </w:rPr>
              <w:br/>
              <w:t> </w:t>
            </w:r>
          </w:p>
        </w:tc>
        <w:tc>
          <w:tcPr>
            <w:tcW w:w="1089" w:type="pct"/>
            <w:vMerge/>
            <w:tcBorders>
              <w:left w:val="single" w:sz="2" w:space="0" w:color="000000"/>
              <w:bottom w:val="single" w:sz="6" w:space="0" w:color="000000"/>
              <w:right w:val="single" w:sz="6" w:space="0" w:color="000000"/>
            </w:tcBorders>
            <w:tcMar>
              <w:top w:w="60" w:type="dxa"/>
              <w:left w:w="60" w:type="dxa"/>
              <w:bottom w:w="60" w:type="dxa"/>
              <w:right w:w="60" w:type="dxa"/>
            </w:tcMar>
            <w:hideMark/>
          </w:tcPr>
          <w:p w:rsidR="004F660F" w:rsidRPr="003D5DE6" w:rsidRDefault="004F660F" w:rsidP="00743C1B">
            <w:pPr>
              <w:spacing w:after="0" w:line="240" w:lineRule="auto"/>
              <w:rPr>
                <w:rFonts w:ascii="Verdana" w:eastAsia="Times New Roman" w:hAnsi="Verdana" w:cs="Times New Roman"/>
                <w:color w:val="000000"/>
                <w:sz w:val="17"/>
                <w:szCs w:val="17"/>
                <w:lang w:eastAsia="en-CA"/>
              </w:rPr>
            </w:pPr>
          </w:p>
        </w:tc>
        <w:tc>
          <w:tcPr>
            <w:tcW w:w="959" w:type="pct"/>
            <w:vMerge/>
            <w:tcBorders>
              <w:left w:val="single" w:sz="2" w:space="0" w:color="000000"/>
              <w:bottom w:val="single" w:sz="6" w:space="0" w:color="000000"/>
              <w:right w:val="single" w:sz="6" w:space="0" w:color="000000"/>
            </w:tcBorders>
            <w:tcMar>
              <w:top w:w="60" w:type="dxa"/>
              <w:left w:w="60" w:type="dxa"/>
              <w:bottom w:w="60" w:type="dxa"/>
              <w:right w:w="60" w:type="dxa"/>
            </w:tcMar>
          </w:tcPr>
          <w:p w:rsidR="004F660F" w:rsidRPr="003D5DE6" w:rsidRDefault="004F660F" w:rsidP="00743C1B">
            <w:pPr>
              <w:spacing w:after="0" w:line="240" w:lineRule="auto"/>
              <w:rPr>
                <w:rFonts w:ascii="Verdana" w:eastAsia="Times New Roman" w:hAnsi="Verdana" w:cs="Times New Roman"/>
                <w:color w:val="000000"/>
                <w:sz w:val="17"/>
                <w:szCs w:val="17"/>
                <w:lang w:eastAsia="en-CA"/>
              </w:rPr>
            </w:pPr>
          </w:p>
        </w:tc>
        <w:tc>
          <w:tcPr>
            <w:tcW w:w="738" w:type="pct"/>
            <w:vMerge/>
            <w:tcBorders>
              <w:left w:val="single" w:sz="2" w:space="0" w:color="000000"/>
              <w:bottom w:val="single" w:sz="6" w:space="0" w:color="000000"/>
              <w:right w:val="single" w:sz="6" w:space="0" w:color="000000"/>
            </w:tcBorders>
            <w:tcMar>
              <w:top w:w="60" w:type="dxa"/>
              <w:left w:w="60" w:type="dxa"/>
              <w:bottom w:w="60" w:type="dxa"/>
              <w:right w:w="60" w:type="dxa"/>
            </w:tcMar>
          </w:tcPr>
          <w:p w:rsidR="004F660F" w:rsidRPr="003D5DE6" w:rsidRDefault="004F660F" w:rsidP="00743C1B">
            <w:pPr>
              <w:spacing w:after="0" w:line="240" w:lineRule="auto"/>
              <w:rPr>
                <w:rFonts w:ascii="Verdana" w:eastAsia="Times New Roman" w:hAnsi="Verdana" w:cs="Times New Roman"/>
                <w:color w:val="000000"/>
                <w:sz w:val="17"/>
                <w:szCs w:val="17"/>
                <w:lang w:eastAsia="en-CA"/>
              </w:rPr>
            </w:pPr>
          </w:p>
        </w:tc>
        <w:tc>
          <w:tcPr>
            <w:tcW w:w="271" w:type="pct"/>
            <w:tcBorders>
              <w:top w:val="single" w:sz="2" w:space="0" w:color="000000"/>
              <w:left w:val="single" w:sz="2" w:space="0" w:color="000000"/>
              <w:bottom w:val="single" w:sz="6" w:space="0" w:color="000000"/>
              <w:right w:val="single" w:sz="6" w:space="0" w:color="000000"/>
            </w:tcBorders>
            <w:tcMar>
              <w:top w:w="60" w:type="dxa"/>
              <w:left w:w="60" w:type="dxa"/>
              <w:bottom w:w="60" w:type="dxa"/>
              <w:right w:w="60" w:type="dxa"/>
            </w:tcMar>
            <w:hideMark/>
          </w:tcPr>
          <w:p w:rsidR="004F660F" w:rsidRPr="003D5DE6" w:rsidRDefault="004F660F" w:rsidP="00743C1B">
            <w:pPr>
              <w:spacing w:after="0" w:line="240" w:lineRule="auto"/>
              <w:rPr>
                <w:rFonts w:ascii="Verdana" w:eastAsia="Times New Roman" w:hAnsi="Verdana" w:cs="Times New Roman"/>
                <w:color w:val="000000"/>
                <w:sz w:val="17"/>
                <w:szCs w:val="17"/>
                <w:lang w:eastAsia="en-CA"/>
              </w:rPr>
            </w:pPr>
            <w:r w:rsidRPr="003D5DE6">
              <w:rPr>
                <w:rFonts w:ascii="Verdana" w:eastAsia="Times New Roman" w:hAnsi="Verdana" w:cs="Times New Roman"/>
                <w:color w:val="000000"/>
                <w:sz w:val="17"/>
                <w:szCs w:val="17"/>
                <w:lang w:eastAsia="en-CA"/>
              </w:rPr>
              <w:t>$$</w:t>
            </w:r>
          </w:p>
        </w:tc>
      </w:tr>
    </w:tbl>
    <w:p w:rsidR="004F660F" w:rsidRPr="003D5DE6" w:rsidRDefault="004F660F" w:rsidP="004F660F">
      <w:pPr>
        <w:spacing w:after="0"/>
        <w:rPr>
          <w:rFonts w:ascii="Arial" w:hAnsi="Arial" w:cs="Arial"/>
          <w:sz w:val="20"/>
          <w:szCs w:val="20"/>
        </w:rPr>
      </w:pPr>
      <w:r w:rsidRPr="003D5DE6">
        <w:rPr>
          <w:rStyle w:val="endnotes"/>
          <w:rFonts w:ascii="Verdana" w:hAnsi="Verdana"/>
          <w:color w:val="000000"/>
          <w:sz w:val="15"/>
          <w:szCs w:val="15"/>
        </w:rPr>
        <w:t>Legend:   $  &lt; $30      $$  $30–60      $$$  $60–90      $$$$  $90–120      $$$$$  $120–150      </w:t>
      </w:r>
      <w:r w:rsidRPr="003D5DE6">
        <w:rPr>
          <w:rStyle w:val="endnotes"/>
          <w:rFonts w:ascii="Verdana" w:hAnsi="Verdana"/>
          <w:color w:val="000000"/>
          <w:sz w:val="15"/>
          <w:szCs w:val="15"/>
        </w:rPr>
        <w:br/>
      </w:r>
    </w:p>
    <w:tbl>
      <w:tblPr>
        <w:tblW w:w="11126" w:type="dxa"/>
        <w:jc w:val="center"/>
        <w:tblLook w:val="04A0" w:firstRow="1" w:lastRow="0" w:firstColumn="1" w:lastColumn="0" w:noHBand="0" w:noVBand="1"/>
      </w:tblPr>
      <w:tblGrid>
        <w:gridCol w:w="1115"/>
        <w:gridCol w:w="1280"/>
        <w:gridCol w:w="3064"/>
        <w:gridCol w:w="2569"/>
        <w:gridCol w:w="2055"/>
        <w:gridCol w:w="1043"/>
      </w:tblGrid>
      <w:tr w:rsidR="004F660F" w:rsidRPr="003D5DE6" w:rsidTr="00743C1B">
        <w:trPr>
          <w:trHeight w:val="468"/>
          <w:jc w:val="center"/>
        </w:trPr>
        <w:tc>
          <w:tcPr>
            <w:tcW w:w="1115" w:type="dxa"/>
            <w:tcBorders>
              <w:top w:val="nil"/>
              <w:left w:val="nil"/>
              <w:bottom w:val="single" w:sz="4" w:space="0" w:color="auto"/>
              <w:right w:val="nil"/>
            </w:tcBorders>
            <w:shd w:val="clear" w:color="000000" w:fill="4060AF"/>
            <w:vAlign w:val="center"/>
            <w:hideMark/>
          </w:tcPr>
          <w:p w:rsidR="004F660F" w:rsidRPr="003D5DE6" w:rsidRDefault="004F660F" w:rsidP="00743C1B">
            <w:pPr>
              <w:spacing w:after="0" w:line="240" w:lineRule="auto"/>
              <w:jc w:val="center"/>
              <w:rPr>
                <w:rFonts w:ascii="Arial" w:eastAsia="Times New Roman" w:hAnsi="Arial" w:cs="Arial"/>
                <w:b/>
                <w:bCs/>
                <w:color w:val="FFFFFF"/>
                <w:sz w:val="16"/>
                <w:szCs w:val="20"/>
                <w:lang w:eastAsia="en-CA"/>
              </w:rPr>
            </w:pPr>
            <w:r w:rsidRPr="003D5DE6">
              <w:rPr>
                <w:rFonts w:ascii="Arial" w:eastAsia="Times New Roman" w:hAnsi="Arial" w:cs="Arial"/>
                <w:b/>
                <w:bCs/>
                <w:color w:val="FFFFFF"/>
                <w:sz w:val="16"/>
                <w:szCs w:val="20"/>
                <w:lang w:eastAsia="en-CA"/>
              </w:rPr>
              <w:t>Medication</w:t>
            </w:r>
          </w:p>
        </w:tc>
        <w:tc>
          <w:tcPr>
            <w:tcW w:w="1280" w:type="dxa"/>
            <w:tcBorders>
              <w:top w:val="nil"/>
              <w:left w:val="nil"/>
              <w:bottom w:val="single" w:sz="4" w:space="0" w:color="auto"/>
              <w:right w:val="nil"/>
            </w:tcBorders>
            <w:shd w:val="clear" w:color="000000" w:fill="4060AF"/>
            <w:vAlign w:val="center"/>
            <w:hideMark/>
          </w:tcPr>
          <w:p w:rsidR="004F660F" w:rsidRPr="003D5DE6" w:rsidRDefault="004F660F" w:rsidP="00743C1B">
            <w:pPr>
              <w:spacing w:after="0" w:line="240" w:lineRule="auto"/>
              <w:jc w:val="center"/>
              <w:rPr>
                <w:rFonts w:ascii="Arial" w:eastAsia="Times New Roman" w:hAnsi="Arial" w:cs="Arial"/>
                <w:b/>
                <w:bCs/>
                <w:color w:val="FFFFFF"/>
                <w:sz w:val="16"/>
                <w:szCs w:val="20"/>
                <w:lang w:eastAsia="en-CA"/>
              </w:rPr>
            </w:pPr>
            <w:r w:rsidRPr="003D5DE6">
              <w:rPr>
                <w:rFonts w:ascii="Arial" w:eastAsia="Times New Roman" w:hAnsi="Arial" w:cs="Arial"/>
                <w:b/>
                <w:bCs/>
                <w:color w:val="FFFFFF"/>
                <w:sz w:val="16"/>
                <w:szCs w:val="20"/>
                <w:lang w:eastAsia="en-CA"/>
              </w:rPr>
              <w:t>Uses</w:t>
            </w:r>
          </w:p>
        </w:tc>
        <w:tc>
          <w:tcPr>
            <w:tcW w:w="3064" w:type="dxa"/>
            <w:tcBorders>
              <w:top w:val="nil"/>
              <w:left w:val="nil"/>
              <w:bottom w:val="single" w:sz="4" w:space="0" w:color="auto"/>
              <w:right w:val="nil"/>
            </w:tcBorders>
            <w:shd w:val="clear" w:color="000000" w:fill="4060AF"/>
            <w:vAlign w:val="center"/>
            <w:hideMark/>
          </w:tcPr>
          <w:p w:rsidR="004F660F" w:rsidRPr="003D5DE6" w:rsidRDefault="004F660F" w:rsidP="00743C1B">
            <w:pPr>
              <w:spacing w:after="0" w:line="240" w:lineRule="auto"/>
              <w:jc w:val="center"/>
              <w:rPr>
                <w:rFonts w:ascii="Arial" w:eastAsia="Times New Roman" w:hAnsi="Arial" w:cs="Arial"/>
                <w:b/>
                <w:bCs/>
                <w:color w:val="FFFFFF"/>
                <w:sz w:val="16"/>
                <w:szCs w:val="20"/>
                <w:lang w:eastAsia="en-CA"/>
              </w:rPr>
            </w:pPr>
            <w:r w:rsidRPr="003D5DE6">
              <w:rPr>
                <w:rFonts w:ascii="Arial" w:eastAsia="Times New Roman" w:hAnsi="Arial" w:cs="Arial"/>
                <w:b/>
                <w:bCs/>
                <w:color w:val="FFFFFF"/>
                <w:sz w:val="16"/>
                <w:szCs w:val="20"/>
                <w:lang w:eastAsia="en-CA"/>
              </w:rPr>
              <w:t>Contraindications (CI),  drug interactions (DI) or cautions</w:t>
            </w:r>
          </w:p>
        </w:tc>
        <w:tc>
          <w:tcPr>
            <w:tcW w:w="2569" w:type="dxa"/>
            <w:tcBorders>
              <w:top w:val="nil"/>
              <w:left w:val="nil"/>
              <w:bottom w:val="single" w:sz="4" w:space="0" w:color="auto"/>
              <w:right w:val="nil"/>
            </w:tcBorders>
            <w:shd w:val="clear" w:color="000000" w:fill="4060AF"/>
            <w:vAlign w:val="center"/>
            <w:hideMark/>
          </w:tcPr>
          <w:p w:rsidR="004F660F" w:rsidRPr="003D5DE6" w:rsidRDefault="004F660F" w:rsidP="00743C1B">
            <w:pPr>
              <w:spacing w:after="0" w:line="240" w:lineRule="auto"/>
              <w:jc w:val="center"/>
              <w:rPr>
                <w:rFonts w:ascii="Arial" w:eastAsia="Times New Roman" w:hAnsi="Arial" w:cs="Arial"/>
                <w:b/>
                <w:bCs/>
                <w:color w:val="FFFFFF"/>
                <w:sz w:val="16"/>
                <w:szCs w:val="20"/>
                <w:lang w:eastAsia="en-CA"/>
              </w:rPr>
            </w:pPr>
            <w:r w:rsidRPr="003D5DE6">
              <w:rPr>
                <w:rFonts w:ascii="Arial" w:eastAsia="Times New Roman" w:hAnsi="Arial" w:cs="Arial"/>
                <w:b/>
                <w:bCs/>
                <w:color w:val="FFFFFF"/>
                <w:sz w:val="16"/>
                <w:szCs w:val="20"/>
                <w:lang w:eastAsia="en-CA"/>
              </w:rPr>
              <w:t>Adverse Effects</w:t>
            </w:r>
            <w:r w:rsidRPr="003D5DE6">
              <w:rPr>
                <w:rFonts w:ascii="Arial" w:eastAsia="Times New Roman" w:hAnsi="Arial" w:cs="Arial"/>
                <w:b/>
                <w:bCs/>
                <w:color w:val="FFFFFF"/>
                <w:sz w:val="16"/>
                <w:szCs w:val="20"/>
                <w:lang w:eastAsia="en-CA"/>
              </w:rPr>
              <w:br/>
              <w:t>(common and severe)</w:t>
            </w:r>
          </w:p>
        </w:tc>
        <w:tc>
          <w:tcPr>
            <w:tcW w:w="2055" w:type="dxa"/>
            <w:tcBorders>
              <w:top w:val="nil"/>
              <w:left w:val="nil"/>
              <w:bottom w:val="single" w:sz="4" w:space="0" w:color="auto"/>
              <w:right w:val="nil"/>
            </w:tcBorders>
            <w:shd w:val="clear" w:color="000000" w:fill="4060AF"/>
            <w:vAlign w:val="center"/>
            <w:hideMark/>
          </w:tcPr>
          <w:p w:rsidR="004F660F" w:rsidRPr="003D5DE6" w:rsidRDefault="004F660F" w:rsidP="00743C1B">
            <w:pPr>
              <w:spacing w:after="0" w:line="240" w:lineRule="auto"/>
              <w:jc w:val="center"/>
              <w:rPr>
                <w:rFonts w:ascii="Arial" w:eastAsia="Times New Roman" w:hAnsi="Arial" w:cs="Arial"/>
                <w:b/>
                <w:bCs/>
                <w:color w:val="FFFFFF"/>
                <w:sz w:val="16"/>
                <w:szCs w:val="20"/>
                <w:lang w:eastAsia="en-CA"/>
              </w:rPr>
            </w:pPr>
            <w:r w:rsidRPr="003D5DE6">
              <w:rPr>
                <w:rFonts w:ascii="Arial" w:eastAsia="Times New Roman" w:hAnsi="Arial" w:cs="Arial"/>
                <w:b/>
                <w:bCs/>
                <w:color w:val="FFFFFF"/>
                <w:sz w:val="16"/>
                <w:szCs w:val="20"/>
                <w:lang w:eastAsia="en-CA"/>
              </w:rPr>
              <w:t>Initial dose; typical dose</w:t>
            </w:r>
          </w:p>
        </w:tc>
        <w:tc>
          <w:tcPr>
            <w:tcW w:w="1043" w:type="dxa"/>
            <w:tcBorders>
              <w:top w:val="nil"/>
              <w:left w:val="nil"/>
              <w:bottom w:val="single" w:sz="4" w:space="0" w:color="auto"/>
              <w:right w:val="nil"/>
            </w:tcBorders>
            <w:shd w:val="clear" w:color="000000" w:fill="4060AF"/>
            <w:vAlign w:val="center"/>
            <w:hideMark/>
          </w:tcPr>
          <w:p w:rsidR="004F660F" w:rsidRPr="003D5DE6" w:rsidRDefault="004F660F" w:rsidP="00743C1B">
            <w:pPr>
              <w:spacing w:after="0" w:line="240" w:lineRule="auto"/>
              <w:jc w:val="center"/>
              <w:rPr>
                <w:rFonts w:ascii="Arial" w:eastAsia="Times New Roman" w:hAnsi="Arial" w:cs="Arial"/>
                <w:b/>
                <w:bCs/>
                <w:color w:val="FFFFFF"/>
                <w:sz w:val="16"/>
                <w:szCs w:val="20"/>
                <w:lang w:eastAsia="en-CA"/>
              </w:rPr>
            </w:pPr>
            <w:r w:rsidRPr="003D5DE6">
              <w:rPr>
                <w:rFonts w:ascii="Arial" w:eastAsia="Times New Roman" w:hAnsi="Arial" w:cs="Arial"/>
                <w:b/>
                <w:bCs/>
                <w:color w:val="FFFFFF"/>
                <w:sz w:val="16"/>
                <w:szCs w:val="20"/>
                <w:lang w:eastAsia="en-CA"/>
              </w:rPr>
              <w:t>Monitoring</w:t>
            </w:r>
          </w:p>
        </w:tc>
      </w:tr>
      <w:tr w:rsidR="004F660F" w:rsidRPr="003D5DE6" w:rsidTr="00743C1B">
        <w:trPr>
          <w:trHeight w:val="468"/>
          <w:jc w:val="center"/>
        </w:trPr>
        <w:tc>
          <w:tcPr>
            <w:tcW w:w="1115" w:type="dxa"/>
            <w:tcBorders>
              <w:top w:val="single" w:sz="4" w:space="0" w:color="auto"/>
              <w:left w:val="single" w:sz="4" w:space="0" w:color="auto"/>
              <w:bottom w:val="single" w:sz="4" w:space="0" w:color="auto"/>
              <w:right w:val="single" w:sz="4" w:space="0" w:color="auto"/>
            </w:tcBorders>
            <w:shd w:val="clear" w:color="auto" w:fill="auto"/>
          </w:tcPr>
          <w:p w:rsidR="004F660F" w:rsidRPr="003D5DE6" w:rsidRDefault="004F660F" w:rsidP="00743C1B">
            <w:pPr>
              <w:rPr>
                <w:sz w:val="16"/>
              </w:rPr>
            </w:pPr>
            <w:r w:rsidRPr="003D5DE6">
              <w:rPr>
                <w:sz w:val="16"/>
              </w:rPr>
              <w:t>atomoxetine</w:t>
            </w:r>
          </w:p>
        </w:tc>
        <w:tc>
          <w:tcPr>
            <w:tcW w:w="1280" w:type="dxa"/>
            <w:tcBorders>
              <w:top w:val="single" w:sz="4" w:space="0" w:color="auto"/>
              <w:left w:val="single" w:sz="4" w:space="0" w:color="auto"/>
              <w:bottom w:val="single" w:sz="4" w:space="0" w:color="auto"/>
              <w:right w:val="single" w:sz="4" w:space="0" w:color="auto"/>
            </w:tcBorders>
            <w:shd w:val="clear" w:color="auto" w:fill="auto"/>
          </w:tcPr>
          <w:p w:rsidR="004F660F" w:rsidRPr="003D5DE6" w:rsidRDefault="004F660F" w:rsidP="00743C1B">
            <w:pPr>
              <w:rPr>
                <w:sz w:val="16"/>
              </w:rPr>
            </w:pPr>
            <w:r w:rsidRPr="003D5DE6">
              <w:rPr>
                <w:sz w:val="16"/>
              </w:rPr>
              <w:t>attention deficit hyperactivity disorder</w:t>
            </w:r>
          </w:p>
        </w:tc>
        <w:tc>
          <w:tcPr>
            <w:tcW w:w="3064" w:type="dxa"/>
            <w:tcBorders>
              <w:top w:val="single" w:sz="4" w:space="0" w:color="auto"/>
              <w:left w:val="single" w:sz="4" w:space="0" w:color="auto"/>
              <w:bottom w:val="single" w:sz="4" w:space="0" w:color="auto"/>
              <w:right w:val="single" w:sz="4" w:space="0" w:color="auto"/>
            </w:tcBorders>
            <w:shd w:val="clear" w:color="auto" w:fill="auto"/>
          </w:tcPr>
          <w:p w:rsidR="004F660F" w:rsidRPr="003D5DE6" w:rsidRDefault="004F660F" w:rsidP="00743C1B">
            <w:pPr>
              <w:rPr>
                <w:sz w:val="16"/>
              </w:rPr>
            </w:pPr>
            <w:r w:rsidRPr="003D5DE6">
              <w:rPr>
                <w:sz w:val="16"/>
              </w:rPr>
              <w:t>CI: narrow-angle glaucoma, presence/history of pheochromocytoma, cardiac/vascular disorders that would deteriorate with increases in BP/HR, MAOIs   DI: antihypertensives, albuterol, paroxetine, fluoxetine, quinidine   Increases suicidal ideation in children and adolescents                              </w:t>
            </w:r>
          </w:p>
        </w:tc>
        <w:tc>
          <w:tcPr>
            <w:tcW w:w="2569" w:type="dxa"/>
            <w:tcBorders>
              <w:top w:val="single" w:sz="4" w:space="0" w:color="auto"/>
              <w:left w:val="single" w:sz="4" w:space="0" w:color="auto"/>
              <w:bottom w:val="single" w:sz="4" w:space="0" w:color="auto"/>
              <w:right w:val="single" w:sz="4" w:space="0" w:color="auto"/>
            </w:tcBorders>
            <w:shd w:val="clear" w:color="auto" w:fill="auto"/>
          </w:tcPr>
          <w:p w:rsidR="004F660F" w:rsidRPr="003D5DE6" w:rsidRDefault="004F660F" w:rsidP="00743C1B">
            <w:pPr>
              <w:rPr>
                <w:sz w:val="16"/>
              </w:rPr>
            </w:pPr>
            <w:r w:rsidRPr="003D5DE6">
              <w:rPr>
                <w:sz w:val="16"/>
              </w:rPr>
              <w:t>abdominal pain, nausea, vomiting, fatigue, decreased appetite, somnolence, headache, dry mouth, dizziness, insomnia, constipation, urinary hesitation, erectile dysfunction, irritability, weight decreased, hyperhidrosis</w:t>
            </w:r>
          </w:p>
        </w:tc>
        <w:tc>
          <w:tcPr>
            <w:tcW w:w="2055" w:type="dxa"/>
            <w:tcBorders>
              <w:top w:val="single" w:sz="4" w:space="0" w:color="auto"/>
              <w:left w:val="single" w:sz="4" w:space="0" w:color="auto"/>
              <w:bottom w:val="single" w:sz="4" w:space="0" w:color="auto"/>
              <w:right w:val="single" w:sz="4" w:space="0" w:color="auto"/>
            </w:tcBorders>
            <w:shd w:val="clear" w:color="auto" w:fill="auto"/>
          </w:tcPr>
          <w:p w:rsidR="004F660F" w:rsidRPr="003D5DE6" w:rsidRDefault="004F660F" w:rsidP="00743C1B">
            <w:pPr>
              <w:rPr>
                <w:sz w:val="16"/>
              </w:rPr>
            </w:pPr>
            <w:r w:rsidRPr="003D5DE6">
              <w:rPr>
                <w:sz w:val="16"/>
              </w:rPr>
              <w:t>80mg; 80mg one time a day OR 1.2mg/kg/day, max 100mg/day</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4F660F" w:rsidRPr="003D5DE6" w:rsidRDefault="004F660F" w:rsidP="00743C1B">
            <w:pPr>
              <w:rPr>
                <w:sz w:val="16"/>
              </w:rPr>
            </w:pPr>
          </w:p>
        </w:tc>
      </w:tr>
    </w:tbl>
    <w:p w:rsidR="004877F5" w:rsidRPr="004F660F" w:rsidRDefault="004877F5">
      <w:pPr>
        <w:rPr>
          <w:rFonts w:ascii="Arial" w:eastAsiaTheme="majorEastAsia" w:hAnsi="Arial" w:cs="Arial"/>
          <w:bCs/>
          <w:sz w:val="20"/>
          <w:szCs w:val="20"/>
        </w:rPr>
      </w:pPr>
      <w:bookmarkStart w:id="8" w:name="_GoBack"/>
      <w:bookmarkEnd w:id="8"/>
    </w:p>
    <w:sectPr w:rsidR="004877F5" w:rsidRPr="004F660F" w:rsidSect="005146C6">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60F"/>
    <w:rsid w:val="004877F5"/>
    <w:rsid w:val="004F660F"/>
    <w:rsid w:val="005146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83FF6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60F"/>
    <w:pPr>
      <w:spacing w:after="200" w:line="276" w:lineRule="auto"/>
    </w:pPr>
    <w:rPr>
      <w:rFonts w:eastAsiaTheme="minorHAnsi"/>
      <w:sz w:val="22"/>
      <w:szCs w:val="22"/>
    </w:rPr>
  </w:style>
  <w:style w:type="paragraph" w:styleId="Heading2">
    <w:name w:val="heading 2"/>
    <w:basedOn w:val="Normal"/>
    <w:next w:val="Normal"/>
    <w:link w:val="Heading2Char"/>
    <w:uiPriority w:val="9"/>
    <w:unhideWhenUsed/>
    <w:qFormat/>
    <w:rsid w:val="004F660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F660F"/>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4F660F"/>
    <w:rPr>
      <w:color w:val="0000FF" w:themeColor="hyperlink"/>
      <w:u w:val="single"/>
    </w:rPr>
  </w:style>
  <w:style w:type="character" w:customStyle="1" w:styleId="apple-converted-space">
    <w:name w:val="apple-converted-space"/>
    <w:basedOn w:val="DefaultParagraphFont"/>
    <w:rsid w:val="004F660F"/>
  </w:style>
  <w:style w:type="character" w:customStyle="1" w:styleId="endnotes">
    <w:name w:val="endnotes"/>
    <w:basedOn w:val="DefaultParagraphFont"/>
    <w:rsid w:val="004F660F"/>
  </w:style>
  <w:style w:type="paragraph" w:styleId="BalloonText">
    <w:name w:val="Balloon Text"/>
    <w:basedOn w:val="Normal"/>
    <w:link w:val="BalloonTextChar"/>
    <w:uiPriority w:val="99"/>
    <w:semiHidden/>
    <w:unhideWhenUsed/>
    <w:rsid w:val="004F660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660F"/>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60F"/>
    <w:pPr>
      <w:spacing w:after="200" w:line="276" w:lineRule="auto"/>
    </w:pPr>
    <w:rPr>
      <w:rFonts w:eastAsiaTheme="minorHAnsi"/>
      <w:sz w:val="22"/>
      <w:szCs w:val="22"/>
    </w:rPr>
  </w:style>
  <w:style w:type="paragraph" w:styleId="Heading2">
    <w:name w:val="heading 2"/>
    <w:basedOn w:val="Normal"/>
    <w:next w:val="Normal"/>
    <w:link w:val="Heading2Char"/>
    <w:uiPriority w:val="9"/>
    <w:unhideWhenUsed/>
    <w:qFormat/>
    <w:rsid w:val="004F660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F660F"/>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4F660F"/>
    <w:rPr>
      <w:color w:val="0000FF" w:themeColor="hyperlink"/>
      <w:u w:val="single"/>
    </w:rPr>
  </w:style>
  <w:style w:type="character" w:customStyle="1" w:styleId="apple-converted-space">
    <w:name w:val="apple-converted-space"/>
    <w:basedOn w:val="DefaultParagraphFont"/>
    <w:rsid w:val="004F660F"/>
  </w:style>
  <w:style w:type="character" w:customStyle="1" w:styleId="endnotes">
    <w:name w:val="endnotes"/>
    <w:basedOn w:val="DefaultParagraphFont"/>
    <w:rsid w:val="004F660F"/>
  </w:style>
  <w:style w:type="paragraph" w:styleId="BalloonText">
    <w:name w:val="Balloon Text"/>
    <w:basedOn w:val="Normal"/>
    <w:link w:val="BalloonTextChar"/>
    <w:uiPriority w:val="99"/>
    <w:semiHidden/>
    <w:unhideWhenUsed/>
    <w:rsid w:val="004F660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660F"/>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caddra.ca/cms4/pdfs/caddraGuidelines2011.pdf"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hyperlink" Target="https://www-e-therapeutics-ca.myaccess.library.utoronto.ca/tc.showChapter.action?documentId=c0003" TargetMode="External"/><Relationship Id="rId14" Type="http://schemas.openxmlformats.org/officeDocument/2006/relationships/hyperlink" Target="https://www-e-therapeutics-ca.myaccess.library.utoronto.ca/tc.showPopupTable.action?chapterId=c0003n00016" TargetMode="External"/><Relationship Id="rId15" Type="http://schemas.openxmlformats.org/officeDocument/2006/relationships/hyperlink" Target="javascript:openWindow('/cps.showPopupMonograph.action?monographId=m520830',%20'popUp');" TargetMode="External"/><Relationship Id="rId16" Type="http://schemas.openxmlformats.org/officeDocument/2006/relationships/hyperlink" Target="javascript:openWindow('/cps.showPopupMonograph.action?monographId=m486200',%20'popUp');" TargetMode="External"/><Relationship Id="rId17" Type="http://schemas.openxmlformats.org/officeDocument/2006/relationships/hyperlink" Target="javascript:openWindow('/cps.showPopupMonograph.action?monographId=m486200',%20'popUp');" TargetMode="External"/><Relationship Id="rId18" Type="http://schemas.openxmlformats.org/officeDocument/2006/relationships/hyperlink" Target="javascript:openWindow('/cps.showPopupMonograph.action?monographId=m700133',%20'popUp');" TargetMode="External"/><Relationship Id="rId19" Type="http://schemas.openxmlformats.org/officeDocument/2006/relationships/hyperlink" Target="javascript:openWindow('/cps.showPopupMonograph.action?monographId=m134400',%20'popUp');"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1357</Words>
  <Characters>7740</Characters>
  <Application>Microsoft Macintosh Word</Application>
  <DocSecurity>0</DocSecurity>
  <Lines>64</Lines>
  <Paragraphs>18</Paragraphs>
  <ScaleCrop>false</ScaleCrop>
  <Company/>
  <LinksUpToDate>false</LinksUpToDate>
  <CharactersWithSpaces>9079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Winny Li</dc:creator>
  <cp:keywords/>
  <dc:description/>
  <cp:lastModifiedBy>Winny Li</cp:lastModifiedBy>
  <cp:revision>1</cp:revision>
  <dcterms:created xsi:type="dcterms:W3CDTF">2016-08-15T19:29:00Z</dcterms:created>
  <dcterms:modified xsi:type="dcterms:W3CDTF">2016-08-15T19:31:00Z</dcterms:modified>
</cp:coreProperties>
</file>